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eastAsia="宋体" w:cs="Times New Roman"/>
          <w:b/>
          <w:bCs/>
          <w:color w:val="auto"/>
          <w:kern w:val="0"/>
          <w:sz w:val="44"/>
          <w:szCs w:val="44"/>
          <w:highlight w:val="none"/>
        </w:rPr>
      </w:pPr>
    </w:p>
    <w:p>
      <w:pPr>
        <w:spacing w:line="360" w:lineRule="auto"/>
        <w:jc w:val="center"/>
        <w:rPr>
          <w:rFonts w:ascii="Times New Roman" w:hAnsi="Times New Roman" w:eastAsia="宋体" w:cs="Times New Roman"/>
          <w:b/>
          <w:bCs/>
          <w:color w:val="auto"/>
          <w:kern w:val="0"/>
          <w:sz w:val="44"/>
          <w:szCs w:val="44"/>
          <w:highlight w:val="none"/>
        </w:rPr>
      </w:pPr>
      <w:r>
        <w:rPr>
          <w:rFonts w:hint="eastAsia" w:asciiTheme="minorEastAsia" w:hAnsiTheme="minorEastAsia" w:cstheme="minorEastAsia"/>
          <w:b/>
          <w:bCs/>
          <w:color w:val="auto"/>
          <w:kern w:val="0"/>
          <w:sz w:val="44"/>
          <w:szCs w:val="44"/>
          <w:highlight w:val="none"/>
        </w:rPr>
        <w:t>楚雄医药高等专科学校食堂大宗食材定点供应商采购项目</w:t>
      </w:r>
    </w:p>
    <w:p>
      <w:pPr>
        <w:rPr>
          <w:rFonts w:ascii="Times New Roman" w:hAnsi="Times New Roman" w:eastAsia="宋体" w:cs="Times New Roman"/>
          <w:color w:val="auto"/>
          <w:highlight w:val="none"/>
        </w:rPr>
      </w:pPr>
      <w:bookmarkStart w:id="359" w:name="_GoBack"/>
      <w:bookmarkEnd w:id="359"/>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autoSpaceDE w:val="0"/>
        <w:autoSpaceDN w:val="0"/>
        <w:adjustRightInd w:val="0"/>
        <w:spacing w:line="360" w:lineRule="auto"/>
        <w:jc w:val="center"/>
        <w:rPr>
          <w:rFonts w:ascii="Times New Roman" w:hAnsi="Times New Roman" w:eastAsia="宋体" w:cs="Times New Roman"/>
          <w:b/>
          <w:bCs/>
          <w:color w:val="auto"/>
          <w:kern w:val="0"/>
          <w:sz w:val="84"/>
          <w:szCs w:val="84"/>
          <w:highlight w:val="none"/>
        </w:rPr>
      </w:pPr>
      <w:r>
        <w:rPr>
          <w:rFonts w:ascii="Times New Roman" w:hAnsi="Times New Roman" w:eastAsia="宋体" w:cs="Times New Roman"/>
          <w:b/>
          <w:bCs/>
          <w:color w:val="auto"/>
          <w:kern w:val="0"/>
          <w:sz w:val="84"/>
          <w:szCs w:val="84"/>
          <w:highlight w:val="none"/>
        </w:rPr>
        <w:t>比选文件</w:t>
      </w:r>
    </w:p>
    <w:p>
      <w:pPr>
        <w:ind w:firstLine="643" w:firstLineChars="200"/>
        <w:jc w:val="center"/>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项目编号：CXYZC【202</w:t>
      </w:r>
      <w:r>
        <w:rPr>
          <w:rFonts w:hint="eastAsia" w:ascii="Times New Roman" w:hAnsi="Times New Roman" w:eastAsia="宋体" w:cs="Times New Roman"/>
          <w:b/>
          <w:bCs/>
          <w:color w:val="auto"/>
          <w:sz w:val="32"/>
          <w:szCs w:val="32"/>
          <w:highlight w:val="none"/>
        </w:rPr>
        <w:t>3</w:t>
      </w:r>
      <w:r>
        <w:rPr>
          <w:rFonts w:ascii="Times New Roman" w:hAnsi="Times New Roman" w:eastAsia="宋体" w:cs="Times New Roman"/>
          <w:b/>
          <w:bCs/>
          <w:color w:val="auto"/>
          <w:sz w:val="32"/>
          <w:szCs w:val="32"/>
          <w:highlight w:val="none"/>
        </w:rPr>
        <w:t>】第</w:t>
      </w:r>
      <w:r>
        <w:rPr>
          <w:rFonts w:hint="eastAsia" w:ascii="Times New Roman" w:hAnsi="Times New Roman" w:eastAsia="宋体" w:cs="Times New Roman"/>
          <w:b/>
          <w:bCs/>
          <w:color w:val="auto"/>
          <w:sz w:val="32"/>
          <w:szCs w:val="32"/>
          <w:highlight w:val="none"/>
          <w:lang w:val="en-US" w:eastAsia="zh-CN"/>
        </w:rPr>
        <w:t>2</w:t>
      </w:r>
      <w:r>
        <w:rPr>
          <w:rFonts w:ascii="Times New Roman" w:hAnsi="Times New Roman" w:eastAsia="宋体" w:cs="Times New Roman"/>
          <w:b/>
          <w:bCs/>
          <w:color w:val="auto"/>
          <w:sz w:val="32"/>
          <w:szCs w:val="32"/>
          <w:highlight w:val="none"/>
        </w:rPr>
        <w:t>号</w:t>
      </w:r>
    </w:p>
    <w:p>
      <w:pPr>
        <w:ind w:firstLine="560" w:firstLineChars="200"/>
        <w:jc w:val="center"/>
        <w:rPr>
          <w:rFonts w:ascii="Times New Roman" w:hAnsi="Times New Roman" w:eastAsia="仿宋_GB2312" w:cs="Times New Roman"/>
          <w:color w:val="auto"/>
          <w:sz w:val="28"/>
          <w:highlight w:val="none"/>
        </w:rPr>
      </w:pPr>
    </w:p>
    <w:p>
      <w:pPr>
        <w:autoSpaceDE w:val="0"/>
        <w:autoSpaceDN w:val="0"/>
        <w:adjustRightInd w:val="0"/>
        <w:spacing w:line="360" w:lineRule="auto"/>
        <w:jc w:val="left"/>
        <w:rPr>
          <w:rFonts w:ascii="Times New Roman" w:hAnsi="Times New Roman" w:eastAsia="宋体" w:cs="Times New Roman"/>
          <w:color w:val="auto"/>
          <w:kern w:val="0"/>
          <w:sz w:val="20"/>
          <w:highlight w:val="none"/>
        </w:rPr>
      </w:pPr>
    </w:p>
    <w:p>
      <w:pPr>
        <w:autoSpaceDE w:val="0"/>
        <w:autoSpaceDN w:val="0"/>
        <w:adjustRightInd w:val="0"/>
        <w:spacing w:line="360" w:lineRule="auto"/>
        <w:jc w:val="left"/>
        <w:rPr>
          <w:rFonts w:ascii="Times New Roman" w:hAnsi="Times New Roman" w:eastAsia="宋体" w:cs="Times New Roman"/>
          <w:color w:val="auto"/>
          <w:kern w:val="0"/>
          <w:sz w:val="20"/>
          <w:highlight w:val="none"/>
        </w:rPr>
      </w:pPr>
    </w:p>
    <w:p>
      <w:pPr>
        <w:autoSpaceDE w:val="0"/>
        <w:autoSpaceDN w:val="0"/>
        <w:adjustRightInd w:val="0"/>
        <w:spacing w:line="360" w:lineRule="auto"/>
        <w:jc w:val="left"/>
        <w:rPr>
          <w:rFonts w:ascii="Times New Roman" w:hAnsi="Times New Roman" w:eastAsia="宋体" w:cs="Times New Roman"/>
          <w:color w:val="auto"/>
          <w:kern w:val="0"/>
          <w:sz w:val="20"/>
          <w:highlight w:val="none"/>
        </w:rPr>
      </w:pPr>
    </w:p>
    <w:p>
      <w:pPr>
        <w:autoSpaceDE w:val="0"/>
        <w:autoSpaceDN w:val="0"/>
        <w:adjustRightInd w:val="0"/>
        <w:spacing w:line="360" w:lineRule="auto"/>
        <w:jc w:val="left"/>
        <w:rPr>
          <w:rFonts w:ascii="Times New Roman" w:hAnsi="Times New Roman" w:eastAsia="宋体" w:cs="Times New Roman"/>
          <w:color w:val="auto"/>
          <w:kern w:val="0"/>
          <w:sz w:val="20"/>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pStyle w:val="24"/>
        <w:ind w:firstLine="560"/>
        <w:rPr>
          <w:rFonts w:ascii="Times New Roman" w:hAnsi="Times New Roman" w:eastAsia="宋体" w:cs="Times New Roman"/>
          <w:color w:val="auto"/>
          <w:highlight w:val="none"/>
        </w:rPr>
      </w:pPr>
    </w:p>
    <w:p>
      <w:pPr>
        <w:pStyle w:val="24"/>
        <w:ind w:firstLine="560"/>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spacing w:line="360" w:lineRule="auto"/>
        <w:ind w:firstLine="2249" w:firstLineChars="700"/>
        <w:rPr>
          <w:rFonts w:ascii="Times New Roman" w:hAnsi="Times New Roman" w:eastAsia="宋体" w:cs="Times New Roman"/>
          <w:b/>
          <w:bCs/>
          <w:color w:val="auto"/>
          <w:sz w:val="32"/>
          <w:szCs w:val="32"/>
          <w:highlight w:val="none"/>
        </w:rPr>
      </w:pPr>
      <w:bookmarkStart w:id="0" w:name="_Toc29856"/>
      <w:bookmarkStart w:id="1" w:name="_Toc9235"/>
      <w:bookmarkStart w:id="2" w:name="_Toc13844"/>
      <w:r>
        <w:rPr>
          <w:rFonts w:ascii="Times New Roman" w:hAnsi="Times New Roman" w:eastAsia="宋体" w:cs="Times New Roman"/>
          <w:b/>
          <w:bCs/>
          <w:color w:val="auto"/>
          <w:sz w:val="32"/>
          <w:szCs w:val="32"/>
          <w:highlight w:val="none"/>
        </w:rPr>
        <w:t>采购人：</w:t>
      </w:r>
      <w:bookmarkEnd w:id="0"/>
      <w:bookmarkEnd w:id="1"/>
      <w:bookmarkEnd w:id="2"/>
      <w:r>
        <w:rPr>
          <w:rFonts w:ascii="Times New Roman" w:hAnsi="Times New Roman" w:eastAsia="宋体" w:cs="Times New Roman"/>
          <w:b/>
          <w:bCs/>
          <w:color w:val="auto"/>
          <w:sz w:val="32"/>
          <w:szCs w:val="32"/>
          <w:highlight w:val="none"/>
        </w:rPr>
        <w:t>楚雄医药高等专科学校</w:t>
      </w:r>
    </w:p>
    <w:p>
      <w:pPr>
        <w:spacing w:line="360" w:lineRule="auto"/>
        <w:ind w:firstLine="4176" w:firstLineChars="1300"/>
        <w:rPr>
          <w:rFonts w:ascii="宋体" w:hAnsi="宋体" w:eastAsia="宋体" w:cs="宋体"/>
          <w:b/>
          <w:bCs/>
          <w:color w:val="auto"/>
          <w:sz w:val="32"/>
          <w:szCs w:val="32"/>
          <w:highlight w:val="none"/>
        </w:rPr>
      </w:pPr>
      <w:bookmarkStart w:id="3" w:name="_Toc5682"/>
      <w:bookmarkStart w:id="4" w:name="_Toc13192"/>
      <w:bookmarkStart w:id="5" w:name="_Toc15172"/>
      <w:r>
        <w:rPr>
          <w:rFonts w:ascii="Times New Roman" w:hAnsi="Times New Roman" w:eastAsia="宋体" w:cs="Times New Roman"/>
          <w:b/>
          <w:bCs/>
          <w:color w:val="auto"/>
          <w:sz w:val="32"/>
          <w:szCs w:val="32"/>
          <w:highlight w:val="none"/>
        </w:rPr>
        <w:t>202</w:t>
      </w:r>
      <w:r>
        <w:rPr>
          <w:rFonts w:hint="eastAsia" w:ascii="Times New Roman" w:hAnsi="Times New Roman" w:eastAsia="宋体" w:cs="Times New Roman"/>
          <w:b/>
          <w:bCs/>
          <w:color w:val="auto"/>
          <w:sz w:val="32"/>
          <w:szCs w:val="32"/>
          <w:highlight w:val="none"/>
        </w:rPr>
        <w:t>3</w:t>
      </w:r>
      <w:r>
        <w:rPr>
          <w:rFonts w:ascii="Times New Roman" w:hAnsi="Times New Roman" w:eastAsia="宋体" w:cs="Times New Roman"/>
          <w:b/>
          <w:bCs/>
          <w:color w:val="auto"/>
          <w:sz w:val="32"/>
          <w:szCs w:val="32"/>
          <w:highlight w:val="none"/>
        </w:rPr>
        <w:t>年</w:t>
      </w:r>
      <w:r>
        <w:rPr>
          <w:rFonts w:hint="eastAsia" w:ascii="Times New Roman" w:hAnsi="Times New Roman" w:eastAsia="宋体" w:cs="Times New Roman"/>
          <w:b/>
          <w:bCs/>
          <w:color w:val="auto"/>
          <w:sz w:val="32"/>
          <w:szCs w:val="32"/>
          <w:highlight w:val="none"/>
        </w:rPr>
        <w:t>1</w:t>
      </w:r>
      <w:r>
        <w:rPr>
          <w:rFonts w:ascii="Times New Roman" w:hAnsi="Times New Roman" w:eastAsia="宋体" w:cs="Times New Roman"/>
          <w:b/>
          <w:bCs/>
          <w:color w:val="auto"/>
          <w:sz w:val="32"/>
          <w:szCs w:val="32"/>
          <w:highlight w:val="none"/>
        </w:rPr>
        <w:t>月</w:t>
      </w:r>
      <w:bookmarkEnd w:id="3"/>
      <w:bookmarkEnd w:id="4"/>
      <w:bookmarkEnd w:id="5"/>
    </w:p>
    <w:p>
      <w:pPr>
        <w:pStyle w:val="15"/>
        <w:rPr>
          <w:rFonts w:ascii="宋体" w:hAnsi="宋体" w:eastAsia="宋体" w:cs="宋体"/>
          <w:b/>
          <w:bCs/>
          <w:color w:val="auto"/>
          <w:sz w:val="32"/>
          <w:szCs w:val="32"/>
          <w:highlight w:val="none"/>
        </w:rPr>
      </w:pPr>
    </w:p>
    <w:p>
      <w:pPr>
        <w:rPr>
          <w:color w:val="auto"/>
          <w:highlight w:val="none"/>
        </w:rPr>
      </w:pPr>
    </w:p>
    <w:p>
      <w:pPr>
        <w:spacing w:line="360" w:lineRule="auto"/>
        <w:jc w:val="center"/>
        <w:rPr>
          <w:rFonts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134" w:left="1417" w:header="779" w:footer="720" w:gutter="0"/>
          <w:pgNumType w:start="1"/>
          <w:cols w:space="720" w:num="1"/>
          <w:titlePg/>
          <w:docGrid w:linePitch="331" w:charSpace="0"/>
        </w:sectPr>
      </w:pPr>
    </w:p>
    <w:p>
      <w:pPr>
        <w:keepNext/>
        <w:keepLines/>
        <w:widowControl/>
        <w:tabs>
          <w:tab w:val="left" w:pos="360"/>
        </w:tabs>
        <w:spacing w:before="240" w:line="259" w:lineRule="auto"/>
        <w:jc w:val="center"/>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val="zh-CN"/>
        </w:rPr>
        <w:t>目录</w:t>
      </w:r>
    </w:p>
    <w:p>
      <w:pPr>
        <w:pStyle w:val="17"/>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bCs/>
          <w:caps/>
          <w:color w:val="auto"/>
          <w:szCs w:val="20"/>
          <w:highlight w:val="none"/>
        </w:rPr>
        <w:fldChar w:fldCharType="begin"/>
      </w:r>
      <w:r>
        <w:rPr>
          <w:rFonts w:hint="default" w:ascii="Times New Roman" w:hAnsi="Times New Roman" w:eastAsia="宋体" w:cs="Times New Roman"/>
          <w:bCs/>
          <w:caps/>
          <w:color w:val="auto"/>
          <w:szCs w:val="20"/>
          <w:highlight w:val="none"/>
        </w:rPr>
        <w:instrText xml:space="preserve">TOC \o "1-3" \h \u </w:instrText>
      </w:r>
      <w:r>
        <w:rPr>
          <w:rFonts w:hint="default" w:ascii="Times New Roman" w:hAnsi="Times New Roman" w:eastAsia="宋体" w:cs="Times New Roman"/>
          <w:bCs/>
          <w:caps/>
          <w:color w:val="auto"/>
          <w:szCs w:val="20"/>
          <w:highlight w:val="none"/>
        </w:rPr>
        <w:fldChar w:fldCharType="separate"/>
      </w:r>
      <w:r>
        <w:rPr>
          <w:rFonts w:hint="default" w:ascii="Times New Roman" w:hAnsi="Times New Roman" w:eastAsia="宋体" w:cs="Times New Roman"/>
          <w:bCs/>
          <w:caps/>
          <w:color w:val="auto"/>
          <w:szCs w:val="20"/>
          <w:highlight w:val="none"/>
        </w:rPr>
        <w:fldChar w:fldCharType="begin"/>
      </w:r>
      <w:r>
        <w:rPr>
          <w:rFonts w:hint="default" w:ascii="Times New Roman" w:hAnsi="Times New Roman" w:eastAsia="宋体" w:cs="Times New Roman"/>
          <w:bCs/>
          <w:caps/>
          <w:color w:val="auto"/>
          <w:szCs w:val="20"/>
          <w:highlight w:val="none"/>
        </w:rPr>
        <w:instrText xml:space="preserve"> HYPERLINK \l _Toc7806 </w:instrText>
      </w:r>
      <w:r>
        <w:rPr>
          <w:rFonts w:hint="default" w:ascii="Times New Roman" w:hAnsi="Times New Roman" w:eastAsia="宋体" w:cs="Times New Roman"/>
          <w:bCs/>
          <w:caps/>
          <w:color w:val="auto"/>
          <w:szCs w:val="20"/>
          <w:highlight w:val="none"/>
        </w:rPr>
        <w:fldChar w:fldCharType="separate"/>
      </w:r>
      <w:r>
        <w:rPr>
          <w:rFonts w:hint="default" w:ascii="Times New Roman" w:hAnsi="Times New Roman" w:cs="Times New Roman"/>
          <w:color w:val="auto"/>
          <w:highlight w:val="none"/>
        </w:rPr>
        <w:t>第一章   比选公告</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_Toc7806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eastAsia="宋体" w:cs="Times New Roman"/>
          <w:bCs/>
          <w:caps/>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_Toc18541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1.1 项目基本情况</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_Toc18541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_Toc3036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1.2 申请人的资格要求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_Toc3036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_Toc24778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1.3 获取比选文件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_Toc24778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_Toc7038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1.4 比选申请文件提交</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_Toc7038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_Toc14685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1.5 开启</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_Toc14685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_Toc18044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1.6 其他补充事宜</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_Toc18044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_Toc14559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1.7 比选保证金</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_Toc14559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_Toc27302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1.8疫情防控要求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_Toc27302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_Toc30701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1.9联系方式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_Toc30701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7"/>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_Toc28655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第二章   申请人须知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_Toc28655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_Toc20825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1、申请人须知前附表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_Toc20825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_Toc5627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2、</w:t>
      </w:r>
      <w:r>
        <w:rPr>
          <w:rFonts w:hint="default" w:ascii="Times New Roman" w:hAnsi="Times New Roman" w:eastAsia="宋体" w:cs="Times New Roman"/>
          <w:bCs/>
          <w:color w:val="auto"/>
          <w:szCs w:val="32"/>
          <w:highlight w:val="none"/>
        </w:rPr>
        <w:t>总 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_Toc5627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_Toc32227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3、比选文件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_Toc32227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_Toc4983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4、申请人资格要求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_Toc4983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_Toc24262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5、比选申请文件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_Toc24262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10</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_Toc15591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6、费用承担</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_Toc15591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_Toc30154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7、文件真实性</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_Toc30154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_Toc22272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8、质疑和投诉</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_Toc22272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7"/>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_Toc16049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第三章 合同书样式及主要条款</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_Toc16049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16</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7"/>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_Toc6355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第四章  比选申请文件格式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_Toc6355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20</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_Toc32058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4.1 报价一览表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_Toc32058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21</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_Toc17491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4.2 比选申请书</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_Toc17491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_Toc27662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4.3 法定代表人资格证明书</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_Toc27662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_Toc12280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4.4 法定代表人授权委托书</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_Toc12280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_Toc23641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 xml:space="preserve">4.5 </w:t>
      </w:r>
      <w:r>
        <w:rPr>
          <w:rFonts w:hint="default" w:ascii="Times New Roman" w:hAnsi="Times New Roman" w:cs="Times New Roman"/>
          <w:color w:val="auto"/>
          <w:highlight w:val="none"/>
        </w:rPr>
        <w:t>资格证明文件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_Toc23641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_Toc12941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4.6 技术偏离表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_Toc12941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27</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_Toc4825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w:t>
      </w:r>
      <w:r>
        <w:rPr>
          <w:rFonts w:hint="default" w:ascii="Times New Roman" w:hAnsi="Times New Roman" w:eastAsia="宋体" w:cs="Times New Roman"/>
          <w:color w:val="auto"/>
          <w:highlight w:val="none"/>
        </w:rPr>
        <w:t>7</w:t>
      </w:r>
      <w:r>
        <w:rPr>
          <w:rFonts w:hint="default" w:ascii="Times New Roman" w:hAnsi="Times New Roman" w:cs="Times New Roman"/>
          <w:color w:val="auto"/>
          <w:highlight w:val="none"/>
        </w:rPr>
        <w:t xml:space="preserve"> 商务条款偏离表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_Toc4825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28</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_Toc10865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4.8货物简要说明</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_Toc10865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29</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_Toc22178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4.9 配送服务方案</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_Toc22178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30</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_Toc25551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eastAsiaTheme="minorEastAsia"/>
          <w:color w:val="auto"/>
          <w:szCs w:val="32"/>
          <w:highlight w:val="none"/>
        </w:rPr>
        <w:t xml:space="preserve">4.10 </w:t>
      </w:r>
      <w:r>
        <w:rPr>
          <w:rFonts w:hint="default" w:ascii="Times New Roman" w:hAnsi="Times New Roman" w:cs="Times New Roman"/>
          <w:color w:val="auto"/>
          <w:szCs w:val="32"/>
          <w:highlight w:val="none"/>
        </w:rPr>
        <w:t>比选保证书</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_Toc25551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35</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_Toc1785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4.11 质量、安全保证方案</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_Toc1785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36</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_Toc32149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4.12 业绩</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_Toc32149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37</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_Toc30949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4.13 应急保障方案</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_Toc30949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38</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_Toc11064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4.14 疫情防控方案</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_Toc11064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39</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_Toc8810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4.15 专业检测能力</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_Toc8810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40</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_Toc24965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4.16 产品来源证明</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_Toc24965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41</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_Toc2191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4.17 供货及服务承诺</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_Toc2191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42</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_Toc12048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4.18 比选文件要求或比选申请人认为要提供的其他资料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_Toc12048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_Toc20123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4.19 中小企业声明函</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_Toc20123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7"/>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_Toc17665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第五章 采购需求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_Toc17665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47</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7"/>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_Toc30764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kern w:val="44"/>
          <w:szCs w:val="32"/>
          <w:highlight w:val="none"/>
        </w:rPr>
        <w:t>第六章  比选程序和方法</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_Toc30764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58</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spacing w:line="360" w:lineRule="auto"/>
        <w:jc w:val="center"/>
        <w:rPr>
          <w:rFonts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fldChar w:fldCharType="end"/>
      </w:r>
    </w:p>
    <w:p>
      <w:pPr>
        <w:pStyle w:val="24"/>
        <w:ind w:firstLine="560"/>
        <w:rPr>
          <w:color w:val="auto"/>
          <w:highlight w:val="none"/>
        </w:rPr>
      </w:pPr>
    </w:p>
    <w:p>
      <w:pPr>
        <w:pStyle w:val="24"/>
        <w:ind w:firstLine="560"/>
        <w:rPr>
          <w:rFonts w:ascii="Times New Roman" w:hAnsi="Times New Roman" w:eastAsia="宋体" w:cs="Times New Roman"/>
          <w:color w:val="auto"/>
          <w:szCs w:val="20"/>
          <w:highlight w:val="none"/>
        </w:rPr>
        <w:sectPr>
          <w:pgSz w:w="11906" w:h="16838"/>
          <w:pgMar w:top="1418" w:right="1134" w:bottom="1134" w:left="1417" w:header="779" w:footer="720" w:gutter="0"/>
          <w:pgNumType w:start="1"/>
          <w:cols w:space="720" w:num="1"/>
          <w:titlePg/>
          <w:docGrid w:linePitch="331" w:charSpace="0"/>
        </w:sectPr>
      </w:pPr>
    </w:p>
    <w:p>
      <w:pPr>
        <w:spacing w:after="120"/>
        <w:jc w:val="center"/>
        <w:rPr>
          <w:rFonts w:ascii="宋体" w:hAnsi="宋体" w:eastAsia="宋体" w:cs="Times New Roman"/>
          <w:b/>
          <w:color w:val="auto"/>
          <w:sz w:val="48"/>
          <w:szCs w:val="48"/>
          <w:highlight w:val="none"/>
        </w:rPr>
      </w:pPr>
      <w:r>
        <w:rPr>
          <w:rFonts w:hint="eastAsia" w:ascii="宋体" w:hAnsi="宋体" w:eastAsia="宋体" w:cs="Times New Roman"/>
          <w:b/>
          <w:color w:val="auto"/>
          <w:sz w:val="48"/>
          <w:szCs w:val="48"/>
          <w:highlight w:val="none"/>
        </w:rPr>
        <w:t>注 意 事 项</w:t>
      </w:r>
    </w:p>
    <w:p>
      <w:pPr>
        <w:spacing w:after="120"/>
        <w:ind w:firstLine="3845" w:firstLineChars="798"/>
        <w:rPr>
          <w:rFonts w:ascii="宋体" w:hAnsi="宋体" w:eastAsia="宋体" w:cs="Times New Roman"/>
          <w:b/>
          <w:color w:val="auto"/>
          <w:sz w:val="48"/>
          <w:szCs w:val="48"/>
          <w:highlight w:val="none"/>
        </w:rPr>
      </w:pPr>
    </w:p>
    <w:p>
      <w:pPr>
        <w:rPr>
          <w:rFonts w:ascii="Calibri" w:hAnsi="Calibri" w:eastAsia="宋体" w:cs="Times New Roman"/>
          <w:b/>
          <w:color w:val="auto"/>
          <w:sz w:val="28"/>
          <w:szCs w:val="28"/>
          <w:highlight w:val="none"/>
        </w:rPr>
      </w:pPr>
      <w:r>
        <w:rPr>
          <w:rFonts w:hint="eastAsia" w:ascii="Calibri" w:hAnsi="Calibri" w:eastAsia="宋体" w:cs="Times New Roman"/>
          <w:b/>
          <w:color w:val="auto"/>
          <w:sz w:val="28"/>
          <w:szCs w:val="28"/>
          <w:highlight w:val="none"/>
        </w:rPr>
        <w:t xml:space="preserve">各申请人:                                                                                                                                                                                                                                                                                                                                                                                                                                                                                                                                                                                                                                          </w:t>
      </w:r>
    </w:p>
    <w:p>
      <w:pPr>
        <w:spacing w:line="360" w:lineRule="auto"/>
        <w:ind w:firstLine="560" w:firstLineChars="200"/>
        <w:rPr>
          <w:rFonts w:ascii="Calibri" w:hAnsi="Calibri" w:eastAsia="宋体" w:cs="Times New Roman"/>
          <w:color w:val="auto"/>
          <w:sz w:val="28"/>
          <w:szCs w:val="28"/>
          <w:highlight w:val="none"/>
        </w:rPr>
      </w:pPr>
      <w:r>
        <w:rPr>
          <w:rFonts w:hint="eastAsia" w:ascii="Calibri" w:hAnsi="Calibri" w:eastAsia="宋体" w:cs="Times New Roman"/>
          <w:color w:val="auto"/>
          <w:sz w:val="28"/>
          <w:szCs w:val="28"/>
          <w:highlight w:val="none"/>
        </w:rPr>
        <w:t>为遵循比选、比选申请的有关规定，在贵单位出席</w:t>
      </w:r>
      <w:r>
        <w:rPr>
          <w:rFonts w:hint="eastAsia" w:ascii="Calibri" w:hAnsi="Calibri" w:eastAsia="宋体" w:cs="Times New Roman"/>
          <w:color w:val="auto"/>
          <w:sz w:val="28"/>
          <w:szCs w:val="28"/>
          <w:highlight w:val="none"/>
        </w:rPr>
        <w:t>比选评审</w:t>
      </w:r>
      <w:r>
        <w:rPr>
          <w:rFonts w:hint="eastAsia" w:ascii="Calibri" w:hAnsi="Calibri" w:eastAsia="宋体" w:cs="Times New Roman"/>
          <w:color w:val="auto"/>
          <w:sz w:val="28"/>
          <w:szCs w:val="28"/>
          <w:highlight w:val="none"/>
        </w:rPr>
        <w:t>会时，除携带你们认为必须的资料外，还必须携带如下证明文件：</w:t>
      </w:r>
    </w:p>
    <w:p>
      <w:pPr>
        <w:spacing w:line="360" w:lineRule="auto"/>
        <w:ind w:left="551"/>
        <w:rPr>
          <w:rFonts w:ascii="Calibri" w:hAnsi="Calibri" w:eastAsia="宋体" w:cs="宋体"/>
          <w:b/>
          <w:color w:val="auto"/>
          <w:sz w:val="28"/>
          <w:szCs w:val="28"/>
          <w:highlight w:val="none"/>
        </w:rPr>
      </w:pPr>
      <w:r>
        <w:rPr>
          <w:rFonts w:hint="eastAsia" w:ascii="Calibri" w:hAnsi="Calibri" w:eastAsia="宋体" w:cs="宋体"/>
          <w:b/>
          <w:color w:val="auto"/>
          <w:sz w:val="28"/>
          <w:szCs w:val="28"/>
          <w:highlight w:val="none"/>
        </w:rPr>
        <w:t>1.年检有效的社会信用统一代码（企业营业执照、组织机构代码证、税务登记证书副本）（原件）；</w:t>
      </w:r>
    </w:p>
    <w:p>
      <w:pPr>
        <w:spacing w:line="360" w:lineRule="auto"/>
        <w:ind w:firstLine="562" w:firstLineChars="200"/>
        <w:rPr>
          <w:rFonts w:ascii="Calibri" w:hAnsi="Calibri" w:eastAsia="宋体" w:cs="宋体"/>
          <w:b/>
          <w:color w:val="auto"/>
          <w:sz w:val="28"/>
          <w:szCs w:val="28"/>
          <w:highlight w:val="none"/>
        </w:rPr>
      </w:pPr>
      <w:r>
        <w:rPr>
          <w:rFonts w:hint="eastAsia" w:ascii="Calibri" w:hAnsi="Calibri" w:eastAsia="宋体" w:cs="宋体"/>
          <w:b/>
          <w:color w:val="auto"/>
          <w:sz w:val="28"/>
          <w:szCs w:val="28"/>
          <w:highlight w:val="none"/>
        </w:rPr>
        <w:t>2.法定代表人资格证明书（原件）；</w:t>
      </w:r>
    </w:p>
    <w:p>
      <w:pPr>
        <w:spacing w:line="360" w:lineRule="auto"/>
        <w:ind w:firstLine="562" w:firstLineChars="200"/>
        <w:rPr>
          <w:rFonts w:ascii="Calibri" w:hAnsi="Calibri" w:eastAsia="宋体" w:cs="宋体"/>
          <w:b/>
          <w:color w:val="auto"/>
          <w:sz w:val="28"/>
          <w:szCs w:val="28"/>
          <w:highlight w:val="none"/>
        </w:rPr>
      </w:pPr>
      <w:r>
        <w:rPr>
          <w:rFonts w:hint="eastAsia" w:ascii="Calibri" w:hAnsi="Calibri" w:eastAsia="宋体" w:cs="宋体"/>
          <w:b/>
          <w:color w:val="auto"/>
          <w:sz w:val="28"/>
          <w:szCs w:val="28"/>
          <w:highlight w:val="none"/>
        </w:rPr>
        <w:t>3.法定代表人授权委托书（原件，企业法定代表人参加会议的除外）；</w:t>
      </w:r>
    </w:p>
    <w:p>
      <w:pPr>
        <w:spacing w:line="360" w:lineRule="auto"/>
        <w:ind w:firstLine="562" w:firstLineChars="200"/>
        <w:rPr>
          <w:rFonts w:ascii="Calibri" w:hAnsi="Calibri" w:eastAsia="宋体" w:cs="宋体"/>
          <w:b/>
          <w:color w:val="auto"/>
          <w:sz w:val="28"/>
          <w:szCs w:val="28"/>
          <w:highlight w:val="none"/>
        </w:rPr>
      </w:pPr>
      <w:r>
        <w:rPr>
          <w:rFonts w:hint="eastAsia" w:ascii="Calibri" w:hAnsi="Calibri" w:eastAsia="宋体" w:cs="宋体"/>
          <w:b/>
          <w:color w:val="auto"/>
          <w:sz w:val="28"/>
          <w:szCs w:val="28"/>
          <w:highlight w:val="none"/>
        </w:rPr>
        <w:t>4.法定代表人（或被授权人）的身份证（原件）；</w:t>
      </w:r>
    </w:p>
    <w:p>
      <w:pPr>
        <w:spacing w:line="360" w:lineRule="auto"/>
        <w:ind w:firstLine="562" w:firstLineChars="200"/>
        <w:rPr>
          <w:rFonts w:ascii="Calibri" w:hAnsi="Calibri" w:eastAsia="宋体" w:cs="Times New Roman"/>
          <w:color w:val="auto"/>
          <w:szCs w:val="22"/>
          <w:highlight w:val="none"/>
        </w:rPr>
      </w:pPr>
      <w:r>
        <w:rPr>
          <w:rFonts w:hint="eastAsia" w:ascii="Calibri" w:hAnsi="Calibri" w:eastAsia="宋体" w:cs="宋体"/>
          <w:b/>
          <w:color w:val="auto"/>
          <w:sz w:val="28"/>
          <w:szCs w:val="28"/>
          <w:highlight w:val="none"/>
        </w:rPr>
        <w:t>5.</w:t>
      </w:r>
      <w:r>
        <w:rPr>
          <w:rFonts w:hint="eastAsia" w:ascii="Calibri" w:hAnsi="Calibri" w:eastAsia="宋体" w:cs="宋体"/>
          <w:b/>
          <w:color w:val="auto"/>
          <w:sz w:val="28"/>
          <w:szCs w:val="28"/>
          <w:highlight w:val="none"/>
        </w:rPr>
        <w:t>行政主管部门核发的有效《食品流通许可证》或《食品经营许可证》（原件）及比选人认为完成该项目所须的相关资质证明；</w:t>
      </w:r>
    </w:p>
    <w:p>
      <w:pPr>
        <w:spacing w:line="360" w:lineRule="auto"/>
        <w:ind w:firstLine="562" w:firstLineChars="200"/>
        <w:rPr>
          <w:rFonts w:ascii="Calibri" w:hAnsi="Calibri" w:eastAsia="宋体" w:cs="宋体"/>
          <w:b/>
          <w:color w:val="auto"/>
          <w:sz w:val="28"/>
          <w:szCs w:val="28"/>
          <w:highlight w:val="none"/>
        </w:rPr>
      </w:pPr>
      <w:r>
        <w:rPr>
          <w:rFonts w:hint="eastAsia" w:ascii="Calibri" w:hAnsi="Calibri" w:eastAsia="宋体" w:cs="宋体"/>
          <w:b/>
          <w:color w:val="auto"/>
          <w:sz w:val="28"/>
          <w:szCs w:val="28"/>
          <w:highlight w:val="none"/>
        </w:rPr>
        <w:t>6.比选保证金（现金、自务信封）。</w:t>
      </w:r>
    </w:p>
    <w:p>
      <w:pPr>
        <w:spacing w:line="360" w:lineRule="auto"/>
        <w:ind w:firstLine="562" w:firstLineChars="200"/>
        <w:rPr>
          <w:rFonts w:ascii="Calibri" w:hAnsi="Calibri" w:eastAsia="宋体" w:cs="Times New Roman"/>
          <w:b/>
          <w:color w:val="auto"/>
          <w:sz w:val="28"/>
          <w:szCs w:val="28"/>
          <w:highlight w:val="none"/>
          <w:u w:val="single"/>
        </w:rPr>
      </w:pPr>
      <w:r>
        <w:rPr>
          <w:rFonts w:hint="eastAsia" w:ascii="Calibri" w:hAnsi="Calibri" w:eastAsia="宋体" w:cs="Times New Roman"/>
          <w:b/>
          <w:color w:val="auto"/>
          <w:sz w:val="28"/>
          <w:szCs w:val="28"/>
          <w:highlight w:val="none"/>
          <w:u w:val="single"/>
        </w:rPr>
        <w:t>上述证明文件的原件在开标时须经采购人收取，由比选人依法进行现场核验，如有不符或不全的，申请文件将被拒绝。</w:t>
      </w:r>
    </w:p>
    <w:p>
      <w:pPr>
        <w:pStyle w:val="24"/>
        <w:ind w:firstLine="562"/>
        <w:rPr>
          <w:rFonts w:ascii="Times New Roman" w:hAnsi="Times New Roman" w:eastAsia="宋体" w:cs="Times New Roman"/>
          <w:color w:val="auto"/>
          <w:szCs w:val="20"/>
          <w:highlight w:val="none"/>
        </w:rPr>
      </w:pPr>
      <w:r>
        <w:rPr>
          <w:rFonts w:hint="eastAsia" w:ascii="Calibri" w:hAnsi="Calibri" w:eastAsia="宋体" w:cs="Times New Roman"/>
          <w:b/>
          <w:color w:val="auto"/>
          <w:szCs w:val="28"/>
          <w:highlight w:val="none"/>
          <w:u w:val="single"/>
        </w:rPr>
        <w:t>若上述证明文件正在进行年检或变更换证不能提交到</w:t>
      </w:r>
      <w:r>
        <w:rPr>
          <w:rFonts w:hint="eastAsia" w:ascii="Calibri" w:hAnsi="Calibri" w:eastAsia="宋体" w:cs="Times New Roman"/>
          <w:b/>
          <w:color w:val="auto"/>
          <w:szCs w:val="28"/>
          <w:highlight w:val="none"/>
          <w:u w:val="single"/>
        </w:rPr>
        <w:t>评审</w:t>
      </w:r>
      <w:r>
        <w:rPr>
          <w:rFonts w:hint="eastAsia" w:ascii="Calibri" w:hAnsi="Calibri" w:eastAsia="宋体" w:cs="Times New Roman"/>
          <w:b/>
          <w:color w:val="auto"/>
          <w:szCs w:val="28"/>
          <w:highlight w:val="none"/>
          <w:u w:val="single"/>
        </w:rPr>
        <w:t>现场的，比选申请申请人需提交企业所在地年检或变更换证主管部门开具的有效证明至比选现场，以供审验，否则，申请文件将被拒绝。</w:t>
      </w:r>
    </w:p>
    <w:p>
      <w:pPr>
        <w:pStyle w:val="24"/>
        <w:ind w:firstLine="560"/>
        <w:rPr>
          <w:rFonts w:ascii="Times New Roman" w:hAnsi="Times New Roman" w:eastAsia="宋体" w:cs="Times New Roman"/>
          <w:color w:val="auto"/>
          <w:szCs w:val="20"/>
          <w:highlight w:val="none"/>
        </w:rPr>
      </w:pPr>
    </w:p>
    <w:p>
      <w:pPr>
        <w:pStyle w:val="24"/>
        <w:ind w:firstLine="560"/>
        <w:rPr>
          <w:rFonts w:ascii="Times New Roman" w:hAnsi="Times New Roman" w:eastAsia="宋体" w:cs="Times New Roman"/>
          <w:color w:val="auto"/>
          <w:szCs w:val="20"/>
          <w:highlight w:val="none"/>
        </w:rPr>
      </w:pPr>
    </w:p>
    <w:p>
      <w:pPr>
        <w:pStyle w:val="24"/>
        <w:ind w:firstLine="560"/>
        <w:rPr>
          <w:rFonts w:ascii="Times New Roman" w:hAnsi="Times New Roman" w:eastAsia="宋体" w:cs="Times New Roman"/>
          <w:color w:val="auto"/>
          <w:szCs w:val="20"/>
          <w:highlight w:val="none"/>
        </w:rPr>
      </w:pPr>
    </w:p>
    <w:p>
      <w:pPr>
        <w:pStyle w:val="24"/>
        <w:ind w:firstLine="560"/>
        <w:rPr>
          <w:rFonts w:ascii="Times New Roman" w:hAnsi="Times New Roman" w:eastAsia="宋体" w:cs="Times New Roman"/>
          <w:color w:val="auto"/>
          <w:szCs w:val="20"/>
          <w:highlight w:val="none"/>
        </w:rPr>
      </w:pPr>
    </w:p>
    <w:p>
      <w:pPr>
        <w:pStyle w:val="24"/>
        <w:ind w:firstLine="560"/>
        <w:rPr>
          <w:rFonts w:ascii="Times New Roman" w:hAnsi="Times New Roman" w:eastAsia="宋体" w:cs="Times New Roman"/>
          <w:color w:val="auto"/>
          <w:szCs w:val="20"/>
          <w:highlight w:val="none"/>
        </w:rPr>
        <w:sectPr>
          <w:pgSz w:w="11906" w:h="16838"/>
          <w:pgMar w:top="1418" w:right="1134" w:bottom="1134" w:left="1417" w:header="779" w:footer="720" w:gutter="0"/>
          <w:pgNumType w:start="1"/>
          <w:cols w:space="720" w:num="1"/>
          <w:titlePg/>
          <w:docGrid w:linePitch="331" w:charSpace="0"/>
        </w:sectPr>
      </w:pPr>
    </w:p>
    <w:p>
      <w:pPr>
        <w:pStyle w:val="4"/>
        <w:jc w:val="center"/>
        <w:rPr>
          <w:rFonts w:ascii="宋体" w:hAnsi="宋体" w:eastAsia="宋体" w:cs="宋体"/>
          <w:color w:val="auto"/>
          <w:highlight w:val="none"/>
        </w:rPr>
      </w:pPr>
      <w:bookmarkStart w:id="6" w:name="_Toc20587_WPSOffice_Level1"/>
      <w:bookmarkStart w:id="7" w:name="_Toc60996674"/>
      <w:bookmarkStart w:id="8" w:name="_第一章__招标公告"/>
      <w:bookmarkStart w:id="9" w:name="_Toc7806"/>
      <w:r>
        <w:rPr>
          <w:rFonts w:ascii="Times New Roman" w:hAnsi="Times New Roman" w:cs="Times New Roman"/>
          <w:color w:val="auto"/>
          <w:highlight w:val="none"/>
        </w:rPr>
        <w:t xml:space="preserve">第一章   </w:t>
      </w:r>
      <w:r>
        <w:rPr>
          <w:rFonts w:hint="eastAsia" w:ascii="Times New Roman" w:hAnsi="Times New Roman" w:cs="Times New Roman"/>
          <w:color w:val="auto"/>
          <w:highlight w:val="none"/>
        </w:rPr>
        <w:t>比选</w:t>
      </w:r>
      <w:r>
        <w:rPr>
          <w:rFonts w:ascii="Times New Roman" w:hAnsi="Times New Roman" w:cs="Times New Roman"/>
          <w:color w:val="auto"/>
          <w:highlight w:val="none"/>
        </w:rPr>
        <w:t>公告</w:t>
      </w:r>
      <w:bookmarkEnd w:id="6"/>
      <w:bookmarkEnd w:id="7"/>
      <w:bookmarkEnd w:id="8"/>
      <w:bookmarkEnd w:id="9"/>
    </w:p>
    <w:p>
      <w:p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为确保食品安全，</w:t>
      </w:r>
      <w:r>
        <w:rPr>
          <w:rFonts w:hint="eastAsia" w:ascii="Times New Roman" w:hAnsi="Times New Roman" w:eastAsia="宋体" w:cs="Times New Roman"/>
          <w:color w:val="auto"/>
          <w:sz w:val="24"/>
          <w:highlight w:val="none"/>
        </w:rPr>
        <w:t>充分体现学校食堂的公益性和保障性，</w:t>
      </w:r>
      <w:r>
        <w:rPr>
          <w:rFonts w:hint="eastAsia" w:ascii="Times New Roman" w:hAnsi="Times New Roman" w:eastAsia="宋体" w:cs="Times New Roman"/>
          <w:color w:val="auto"/>
          <w:sz w:val="24"/>
          <w:highlight w:val="none"/>
        </w:rPr>
        <w:t>规范学校食堂大宗食材采购，完善采购程序，</w:t>
      </w:r>
      <w:r>
        <w:rPr>
          <w:rFonts w:hint="eastAsia" w:ascii="宋体" w:hAnsi="宋体"/>
          <w:color w:val="auto"/>
          <w:sz w:val="24"/>
          <w:szCs w:val="30"/>
          <w:highlight w:val="none"/>
        </w:rPr>
        <w:t>拟</w:t>
      </w:r>
      <w:r>
        <w:rPr>
          <w:rFonts w:hint="eastAsia" w:ascii="Times New Roman" w:hAnsi="Times New Roman" w:eastAsia="宋体" w:cs="Times New Roman"/>
          <w:color w:val="auto"/>
          <w:sz w:val="24"/>
          <w:highlight w:val="none"/>
        </w:rPr>
        <w:t>对食堂肉禽、干货、蔬菜三大类食材的定点供应商采购项目进行</w:t>
      </w:r>
      <w:r>
        <w:rPr>
          <w:rFonts w:hint="eastAsia" w:ascii="宋体" w:hAnsi="宋体"/>
          <w:color w:val="auto"/>
          <w:sz w:val="24"/>
          <w:szCs w:val="30"/>
          <w:highlight w:val="none"/>
        </w:rPr>
        <w:t>公开比选，</w:t>
      </w:r>
      <w:r>
        <w:rPr>
          <w:rFonts w:hint="eastAsia" w:ascii="宋体" w:hAnsi="宋体"/>
          <w:color w:val="auto"/>
          <w:sz w:val="24"/>
          <w:szCs w:val="30"/>
          <w:highlight w:val="none"/>
        </w:rPr>
        <w:t>凡有意向并具有服务能力的申请人均可参选。</w:t>
      </w:r>
    </w:p>
    <w:p>
      <w:pPr>
        <w:pStyle w:val="5"/>
        <w:rPr>
          <w:rFonts w:ascii="宋体" w:hAnsi="宋体" w:eastAsia="宋体" w:cs="宋体"/>
          <w:color w:val="auto"/>
          <w:szCs w:val="28"/>
          <w:highlight w:val="none"/>
        </w:rPr>
      </w:pPr>
      <w:bookmarkStart w:id="10" w:name="_Toc28359002"/>
      <w:bookmarkStart w:id="11" w:name="_Toc35393621"/>
      <w:bookmarkStart w:id="12" w:name="_Toc28359079"/>
      <w:bookmarkStart w:id="13" w:name="_Toc29731_WPSOffice_Level2"/>
      <w:bookmarkStart w:id="14" w:name="_Toc44621995"/>
      <w:bookmarkStart w:id="15" w:name="_Toc35393790"/>
      <w:bookmarkStart w:id="16" w:name="_Toc18541"/>
      <w:bookmarkStart w:id="17" w:name="_Hlk24379207"/>
      <w:r>
        <w:rPr>
          <w:rFonts w:ascii="Times New Roman" w:hAnsi="Times New Roman" w:eastAsia="宋体" w:cs="Times New Roman"/>
          <w:color w:val="auto"/>
          <w:highlight w:val="none"/>
        </w:rPr>
        <w:t>1.1 项目基本情况</w:t>
      </w:r>
      <w:bookmarkEnd w:id="10"/>
      <w:bookmarkEnd w:id="11"/>
      <w:bookmarkEnd w:id="12"/>
      <w:bookmarkEnd w:id="13"/>
      <w:bookmarkEnd w:id="14"/>
      <w:bookmarkEnd w:id="15"/>
      <w:bookmarkEnd w:id="16"/>
    </w:p>
    <w:p>
      <w:pPr>
        <w:spacing w:line="460" w:lineRule="exact"/>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1、项目编号：CXYZC【202</w:t>
      </w:r>
      <w:r>
        <w:rPr>
          <w:rFonts w:hint="eastAsia" w:ascii="Times New Roman" w:hAnsi="Times New Roman" w:eastAsia="宋体" w:cs="Times New Roman"/>
          <w:color w:val="auto"/>
          <w:sz w:val="24"/>
          <w:highlight w:val="none"/>
        </w:rPr>
        <w:t>3</w:t>
      </w:r>
      <w:r>
        <w:rPr>
          <w:rFonts w:ascii="Times New Roman" w:hAnsi="Times New Roman" w:eastAsia="宋体" w:cs="Times New Roman"/>
          <w:color w:val="auto"/>
          <w:sz w:val="24"/>
          <w:highlight w:val="none"/>
        </w:rPr>
        <w:t>】第</w:t>
      </w:r>
      <w:r>
        <w:rPr>
          <w:rFonts w:hint="eastAsia" w:ascii="Times New Roman" w:hAnsi="Times New Roman" w:eastAsia="宋体" w:cs="Times New Roman"/>
          <w:color w:val="auto"/>
          <w:sz w:val="24"/>
          <w:highlight w:val="none"/>
          <w:lang w:val="en-US" w:eastAsia="zh-CN"/>
        </w:rPr>
        <w:t>2</w:t>
      </w:r>
      <w:r>
        <w:rPr>
          <w:rFonts w:ascii="Times New Roman" w:hAnsi="Times New Roman" w:eastAsia="宋体" w:cs="Times New Roman"/>
          <w:color w:val="auto"/>
          <w:sz w:val="24"/>
          <w:highlight w:val="none"/>
        </w:rPr>
        <w:t>号</w:t>
      </w:r>
    </w:p>
    <w:p>
      <w:pPr>
        <w:spacing w:line="460" w:lineRule="exact"/>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2、项目名称：</w:t>
      </w:r>
      <w:r>
        <w:rPr>
          <w:rFonts w:hint="eastAsia" w:ascii="Times New Roman" w:hAnsi="Times New Roman" w:eastAsia="宋体" w:cs="Times New Roman"/>
          <w:color w:val="auto"/>
          <w:sz w:val="24"/>
          <w:highlight w:val="none"/>
        </w:rPr>
        <w:t>楚雄医药高等专科学校食堂大宗食材定点供应商采购项目</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w:t>
      </w:r>
      <w:r>
        <w:rPr>
          <w:rFonts w:ascii="Times New Roman" w:hAnsi="Times New Roman" w:eastAsia="宋体" w:cs="Times New Roman"/>
          <w:color w:val="auto"/>
          <w:sz w:val="24"/>
          <w:highlight w:val="none"/>
        </w:rPr>
        <w:t>采购方式：</w:t>
      </w:r>
      <w:r>
        <w:rPr>
          <w:rFonts w:hint="eastAsia" w:ascii="Times New Roman" w:hAnsi="Times New Roman" w:eastAsia="宋体" w:cs="Times New Roman"/>
          <w:color w:val="auto"/>
          <w:sz w:val="24"/>
          <w:highlight w:val="none"/>
        </w:rPr>
        <w:t>公开比选</w:t>
      </w:r>
    </w:p>
    <w:bookmarkEnd w:id="17"/>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4、基本情况：楚雄医药高等专科学校食堂建筑面积约9432平方米，共有4个保障性食堂、1个教工食堂、7个特色窗口，在校生人数约6100人，教职工约400人，保障性食品价格由学校制定。</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5、采购需求</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rPr>
        <w:t>采购我校食堂大宗食材定点供应商一家，保证</w:t>
      </w:r>
      <w:r>
        <w:rPr>
          <w:rFonts w:hint="eastAsia" w:ascii="Times New Roman" w:hAnsi="Times New Roman" w:eastAsia="宋体" w:cs="Times New Roman"/>
          <w:color w:val="auto"/>
          <w:sz w:val="24"/>
          <w:highlight w:val="none"/>
          <w:lang w:val="en-US" w:eastAsia="zh-CN"/>
        </w:rPr>
        <w:t>采购</w:t>
      </w:r>
      <w:r>
        <w:rPr>
          <w:rFonts w:hint="eastAsia" w:ascii="Times New Roman" w:hAnsi="Times New Roman" w:eastAsia="宋体" w:cs="Times New Roman"/>
          <w:color w:val="auto"/>
          <w:sz w:val="24"/>
          <w:highlight w:val="none"/>
        </w:rPr>
        <w:t>人食堂日常供餐食材供应及应急情况下的食材储备。学生在校日按需提前配送到校，蔬菜类、肉类每天配送一次，佐料干菜类每2周配送一次。每天配送一次的学校货物到校时间不得晚于早上8:30分，中选后以各食堂提供的供货清单为准。本项目的采购内容等详见第五章“采购需求”，各类食材的种类须包括但不限于</w:t>
      </w:r>
      <w:r>
        <w:rPr>
          <w:rFonts w:hint="eastAsia" w:ascii="Times New Roman" w:hAnsi="Times New Roman" w:eastAsia="宋体" w:cs="Times New Roman"/>
          <w:color w:val="auto"/>
          <w:sz w:val="24"/>
          <w:highlight w:val="none"/>
          <w:lang w:val="en-US" w:eastAsia="zh-CN"/>
        </w:rPr>
        <w:t>采购需求中</w:t>
      </w:r>
      <w:r>
        <w:rPr>
          <w:rFonts w:hint="eastAsia" w:ascii="Times New Roman" w:hAnsi="Times New Roman" w:eastAsia="宋体" w:cs="Times New Roman"/>
          <w:color w:val="auto"/>
          <w:sz w:val="24"/>
          <w:highlight w:val="none"/>
        </w:rPr>
        <w:t>各表所列种类，评审时将结合比选申请人提供的种类正负偏离情况进行打分。</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6、供货方式：根据指定的供货地点及批准的供货方案，专人、专车派送，现场交货并验收合格。</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7、质量要求：</w:t>
      </w:r>
      <w:r>
        <w:rPr>
          <w:rFonts w:hint="eastAsia" w:ascii="Times New Roman" w:hAnsi="Times New Roman" w:eastAsia="宋体" w:cs="Times New Roman"/>
          <w:color w:val="auto"/>
          <w:sz w:val="24"/>
          <w:highlight w:val="none"/>
        </w:rPr>
        <w:t>包含但不限于以下标准：</w:t>
      </w:r>
      <w:r>
        <w:rPr>
          <w:rFonts w:hint="eastAsia" w:ascii="Times New Roman" w:hAnsi="Times New Roman" w:eastAsia="宋体" w:cs="Times New Roman"/>
          <w:color w:val="auto"/>
          <w:sz w:val="24"/>
          <w:highlight w:val="none"/>
        </w:rPr>
        <w:t>蔬菜符合CB/T23351-2009《国家新鲜水果和蔬菜质量标准》及《中华人民共和国食品安全法》和中华人民共和国相关质量检验标准、卫生标准及地方的相关法律法规要求；肉禽符合(中华人民共和国标准鲜禽肉卫生标准》、《中华人民共和国食品安全法》和中华人民共和国相关质量检验标准、卫生标准及地方的相关法律法规要求；其他种类符合《中华人民共和国食品安全法》和中华人民共和国相关质量检验标准、卫生标准及地方的相关法律法规要求；依法建立并落实食品（原料）进货查验制度，确保食品安全。所有食品为非转基因食品，确保绿色健康。质量必须符合《国家食品卫生标准》及国家、行业相关的规范、标准，满足比选人验收标准，并一次性验收合格。</w:t>
      </w:r>
    </w:p>
    <w:p>
      <w:pPr>
        <w:rPr>
          <w:color w:val="auto"/>
          <w:highlight w:val="none"/>
        </w:rPr>
      </w:pP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8、合同履行期限：2023年2月至2024年1月，如因遇政策变化等不可抗因素，合作终止。</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9、本项目中选申请人不允许转包、不接受联合体的申请。</w:t>
      </w:r>
    </w:p>
    <w:p>
      <w:pPr>
        <w:pStyle w:val="5"/>
        <w:rPr>
          <w:rFonts w:ascii="Times New Roman" w:hAnsi="Times New Roman" w:eastAsia="宋体" w:cs="Times New Roman"/>
          <w:color w:val="auto"/>
          <w:highlight w:val="none"/>
        </w:rPr>
      </w:pPr>
      <w:bookmarkStart w:id="18" w:name="_Toc44621996"/>
      <w:bookmarkStart w:id="19" w:name="_Toc28359003"/>
      <w:bookmarkStart w:id="20" w:name="_Toc35393622"/>
      <w:bookmarkStart w:id="21" w:name="_Toc28359080"/>
      <w:bookmarkStart w:id="22" w:name="_Toc31955_WPSOffice_Level2"/>
      <w:bookmarkStart w:id="23" w:name="_Toc35393791"/>
      <w:bookmarkStart w:id="24" w:name="_Toc3036"/>
      <w:r>
        <w:rPr>
          <w:rFonts w:ascii="Times New Roman" w:hAnsi="Times New Roman" w:eastAsia="宋体" w:cs="Times New Roman"/>
          <w:color w:val="auto"/>
          <w:highlight w:val="none"/>
        </w:rPr>
        <w:t>1.2 申请人的资格要求</w:t>
      </w:r>
      <w:bookmarkEnd w:id="18"/>
      <w:bookmarkEnd w:id="19"/>
      <w:bookmarkEnd w:id="20"/>
      <w:bookmarkEnd w:id="21"/>
      <w:bookmarkEnd w:id="22"/>
      <w:bookmarkEnd w:id="23"/>
      <w:bookmarkEnd w:id="24"/>
    </w:p>
    <w:p>
      <w:pPr>
        <w:spacing w:line="460" w:lineRule="exact"/>
        <w:ind w:firstLine="480" w:firstLineChars="200"/>
        <w:rPr>
          <w:rFonts w:ascii="Times New Roman" w:hAnsi="Times New Roman" w:eastAsia="宋体" w:cs="Times New Roman"/>
          <w:color w:val="auto"/>
          <w:sz w:val="24"/>
          <w:highlight w:val="none"/>
        </w:rPr>
      </w:pPr>
      <w:bookmarkStart w:id="25" w:name="_Toc29731_WPSOffice_Level3"/>
      <w:bookmarkStart w:id="26" w:name="_Toc28359081"/>
      <w:bookmarkStart w:id="27" w:name="_Toc28359004"/>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w:t>
      </w:r>
      <w:bookmarkEnd w:id="25"/>
      <w:r>
        <w:rPr>
          <w:rFonts w:hint="eastAsia" w:ascii="Times New Roman" w:hAnsi="Times New Roman" w:eastAsia="宋体" w:cs="Times New Roman"/>
          <w:color w:val="auto"/>
          <w:sz w:val="24"/>
          <w:highlight w:val="none"/>
        </w:rPr>
        <w:t>满足《中华人民共和国政府采购法》第二十二条规定：</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（1）具有独立承担民事责任的能力（具有有效的营业执照，经营范围应与本项目相符合）；</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（2）具有良好的商业信誉和健全的财务会计制度；</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（3）具有履行合同所必需的设备和专业技术能力；</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（4）具有依法缴纳税收和社会保障资金的良好记录；</w:t>
      </w:r>
    </w:p>
    <w:p>
      <w:pPr>
        <w:pStyle w:val="24"/>
        <w:ind w:firstLine="48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（5）参加政府采购活动前三年内在经营活动中没有重大违法记录；</w:t>
      </w:r>
    </w:p>
    <w:p>
      <w:pPr>
        <w:pStyle w:val="24"/>
        <w:ind w:firstLine="48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（6）法律、行政法规规定的其他条件。</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2、落实政府采购政策需满足的资格要求：无。</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3、本项目的特定资格要求：</w:t>
      </w:r>
    </w:p>
    <w:p>
      <w:pPr>
        <w:pStyle w:val="2"/>
        <w:ind w:firstLine="480"/>
        <w:rPr>
          <w:color w:val="auto"/>
          <w:highlight w:val="none"/>
        </w:rPr>
      </w:pPr>
      <w:r>
        <w:rPr>
          <w:rFonts w:hint="eastAsia" w:ascii="Times New Roman" w:hAnsi="Times New Roman"/>
          <w:color w:val="auto"/>
          <w:sz w:val="24"/>
          <w:highlight w:val="none"/>
        </w:rPr>
        <w:t>（1）具有有效的《食品流通许可证》或《食品经营许可证》。</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近三年内在经营活动中没有重大违法记录或出现重大质量问题；没有处于被责令停业，</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资格被取消，财产被接管、冻结、破产状态；没有被纳入违约失信企业名单、列为失信被执行人。</w:t>
      </w:r>
    </w:p>
    <w:p>
      <w:pPr>
        <w:spacing w:line="460" w:lineRule="exact"/>
        <w:ind w:firstLine="480" w:firstLineChars="200"/>
        <w:rPr>
          <w:rFonts w:ascii="仿宋_GB2312" w:hAnsi="宋体" w:eastAsia="宋体"/>
          <w:color w:val="auto"/>
          <w:sz w:val="28"/>
          <w:highlight w:val="none"/>
        </w:rPr>
      </w:pPr>
      <w:r>
        <w:rPr>
          <w:rFonts w:hint="eastAsia" w:ascii="Times New Roman" w:hAnsi="Times New Roman" w:eastAsia="宋体" w:cs="Times New Roman"/>
          <w:color w:val="auto"/>
          <w:sz w:val="24"/>
          <w:highlight w:val="none"/>
        </w:rPr>
        <w:t>（3）比选人在比选截止时间前未被列入“信用中国”网站（www.creditchina.gov.cn）失信被执行人、重大税收违法案件当事人名单、政府采购严重违法失信行为记录名单及中国政府采购网（www.ccgp.gov.cn）“政府采购严重违法失信行为信息记录”（提供查询截图</w:t>
      </w:r>
      <w:r>
        <w:rPr>
          <w:rFonts w:hint="eastAsia" w:ascii="宋体" w:hAnsi="宋体" w:eastAsia="宋体"/>
          <w:color w:val="auto"/>
          <w:sz w:val="24"/>
          <w:szCs w:val="30"/>
          <w:highlight w:val="none"/>
        </w:rPr>
        <w:t>和</w:t>
      </w:r>
      <w:r>
        <w:rPr>
          <w:rFonts w:hint="eastAsia" w:ascii="宋体" w:hAnsi="宋体"/>
          <w:color w:val="auto"/>
          <w:sz w:val="24"/>
          <w:szCs w:val="30"/>
          <w:highlight w:val="none"/>
        </w:rPr>
        <w:t>承诺函</w:t>
      </w:r>
      <w:r>
        <w:rPr>
          <w:rFonts w:hint="eastAsia" w:ascii="Times New Roman" w:hAnsi="Times New Roman" w:eastAsia="宋体" w:cs="Times New Roman"/>
          <w:color w:val="auto"/>
          <w:sz w:val="24"/>
          <w:highlight w:val="none"/>
        </w:rPr>
        <w:t>）。若为失信企业，将取消成交资格。</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4、申请人</w:t>
      </w:r>
      <w:r>
        <w:rPr>
          <w:rFonts w:ascii="Times New Roman" w:hAnsi="Times New Roman" w:eastAsia="宋体" w:cs="Times New Roman"/>
          <w:color w:val="auto"/>
          <w:sz w:val="24"/>
          <w:highlight w:val="none"/>
        </w:rPr>
        <w:t>提供的资料中被查实有虚假证明材料的，采购人有权取消其</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资格；</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后中选的，其中选资格无效。</w:t>
      </w:r>
    </w:p>
    <w:p>
      <w:pPr>
        <w:pStyle w:val="5"/>
        <w:rPr>
          <w:rFonts w:ascii="Times New Roman" w:hAnsi="Times New Roman" w:eastAsia="宋体" w:cs="Times New Roman"/>
          <w:color w:val="auto"/>
          <w:highlight w:val="none"/>
        </w:rPr>
      </w:pPr>
      <w:bookmarkStart w:id="28" w:name="_Toc35393623"/>
      <w:bookmarkStart w:id="29" w:name="_Toc35393792"/>
      <w:bookmarkStart w:id="30" w:name="_Toc44621997"/>
      <w:bookmarkStart w:id="31" w:name="_Toc20584_WPSOffice_Level2"/>
      <w:bookmarkStart w:id="32" w:name="_Toc24778"/>
      <w:r>
        <w:rPr>
          <w:rFonts w:ascii="Times New Roman" w:hAnsi="Times New Roman" w:eastAsia="宋体" w:cs="Times New Roman"/>
          <w:color w:val="auto"/>
          <w:highlight w:val="none"/>
        </w:rPr>
        <w:t>1.3 获取</w:t>
      </w:r>
      <w:r>
        <w:rPr>
          <w:rFonts w:hint="eastAsia" w:ascii="Times New Roman" w:hAnsi="Times New Roman" w:eastAsia="宋体" w:cs="Times New Roman"/>
          <w:color w:val="auto"/>
          <w:highlight w:val="none"/>
        </w:rPr>
        <w:t>比选</w:t>
      </w:r>
      <w:r>
        <w:rPr>
          <w:rFonts w:ascii="Times New Roman" w:hAnsi="Times New Roman" w:eastAsia="宋体" w:cs="Times New Roman"/>
          <w:color w:val="auto"/>
          <w:highlight w:val="none"/>
        </w:rPr>
        <w:t>文件</w:t>
      </w:r>
      <w:bookmarkEnd w:id="26"/>
      <w:bookmarkEnd w:id="27"/>
      <w:bookmarkEnd w:id="28"/>
      <w:bookmarkEnd w:id="29"/>
      <w:bookmarkEnd w:id="30"/>
      <w:bookmarkEnd w:id="31"/>
      <w:bookmarkEnd w:id="32"/>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w:t>
      </w:r>
      <w:r>
        <w:rPr>
          <w:rFonts w:ascii="Times New Roman" w:hAnsi="Times New Roman" w:eastAsia="宋体" w:cs="Times New Roman"/>
          <w:color w:val="auto"/>
          <w:sz w:val="24"/>
          <w:highlight w:val="none"/>
        </w:rPr>
        <w:t>时间：</w:t>
      </w:r>
      <w:r>
        <w:rPr>
          <w:rFonts w:hint="eastAsia" w:ascii="Times New Roman" w:hAnsi="Times New Roman" w:eastAsia="宋体" w:cs="Times New Roman"/>
          <w:color w:val="auto"/>
          <w:sz w:val="24"/>
          <w:highlight w:val="none"/>
        </w:rPr>
        <w:t>2023年1月</w:t>
      </w:r>
      <w:r>
        <w:rPr>
          <w:rFonts w:hint="eastAsia" w:ascii="Times New Roman" w:hAnsi="Times New Roman" w:eastAsia="宋体" w:cs="Times New Roman"/>
          <w:color w:val="auto"/>
          <w:sz w:val="24"/>
          <w:highlight w:val="none"/>
          <w:lang w:val="en-US" w:eastAsia="zh-CN"/>
        </w:rPr>
        <w:t>8</w:t>
      </w:r>
      <w:r>
        <w:rPr>
          <w:rFonts w:hint="eastAsia" w:ascii="Times New Roman" w:hAnsi="Times New Roman" w:eastAsia="宋体" w:cs="Times New Roman"/>
          <w:color w:val="auto"/>
          <w:sz w:val="24"/>
          <w:highlight w:val="none"/>
        </w:rPr>
        <w:t>日至2023年</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日</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地点：</w:t>
      </w:r>
      <w:r>
        <w:rPr>
          <w:rFonts w:ascii="Times New Roman" w:hAnsi="Times New Roman" w:eastAsia="宋体" w:cs="Times New Roman"/>
          <w:color w:val="auto"/>
          <w:sz w:val="24"/>
          <w:highlight w:val="none"/>
          <w:lang w:val="zh-CN"/>
        </w:rPr>
        <w:t>楚雄医药高等专科学校</w:t>
      </w:r>
      <w:r>
        <w:rPr>
          <w:rFonts w:hint="eastAsia" w:ascii="Times New Roman" w:hAnsi="Times New Roman" w:eastAsia="宋体" w:cs="Times New Roman"/>
          <w:color w:val="auto"/>
          <w:sz w:val="24"/>
          <w:highlight w:val="none"/>
        </w:rPr>
        <w:t>保卫处</w:t>
      </w:r>
      <w:r>
        <w:rPr>
          <w:rFonts w:hint="eastAsia" w:ascii="Times New Roman" w:hAnsi="Times New Roman" w:eastAsia="宋体" w:cs="Times New Roman"/>
          <w:color w:val="auto"/>
          <w:sz w:val="24"/>
          <w:highlight w:val="none"/>
          <w:lang w:val="en-US" w:eastAsia="zh-CN"/>
        </w:rPr>
        <w:t>招标</w:t>
      </w:r>
      <w:r>
        <w:rPr>
          <w:rFonts w:hint="eastAsia" w:ascii="Times New Roman" w:hAnsi="Times New Roman" w:eastAsia="宋体" w:cs="Times New Roman"/>
          <w:color w:val="auto"/>
          <w:sz w:val="24"/>
          <w:highlight w:val="none"/>
        </w:rPr>
        <w:t>信息</w:t>
      </w:r>
      <w:r>
        <w:rPr>
          <w:rFonts w:ascii="Times New Roman" w:hAnsi="Times New Roman" w:eastAsia="宋体" w:cs="Times New Roman"/>
          <w:color w:val="auto"/>
          <w:sz w:val="24"/>
          <w:highlight w:val="none"/>
          <w:lang w:val="zh-CN"/>
        </w:rPr>
        <w:t>栏下载</w:t>
      </w:r>
      <w:r>
        <w:rPr>
          <w:rFonts w:ascii="Times New Roman" w:hAnsi="Times New Roman" w:eastAsia="宋体" w:cs="Times New Roman"/>
          <w:color w:val="auto"/>
          <w:sz w:val="24"/>
          <w:highlight w:val="none"/>
        </w:rPr>
        <w:t>（</w:t>
      </w:r>
      <w:r>
        <w:rPr>
          <w:rFonts w:ascii="Times New Roman" w:hAnsi="Times New Roman" w:eastAsia="宋体" w:cs="Times New Roman"/>
          <w:color w:val="auto"/>
          <w:sz w:val="24"/>
          <w:highlight w:val="none"/>
          <w:lang w:val="zh-CN"/>
        </w:rPr>
        <w:t>网址</w:t>
      </w:r>
      <w:r>
        <w:rPr>
          <w:rFonts w:ascii="Times New Roman" w:hAnsi="Times New Roman" w:eastAsia="宋体" w:cs="Times New Roman"/>
          <w:color w:val="auto"/>
          <w:sz w:val="24"/>
          <w:highlight w:val="none"/>
        </w:rPr>
        <w:t>：</w:t>
      </w:r>
      <w:r>
        <w:rPr>
          <w:color w:val="auto"/>
          <w:highlight w:val="none"/>
        </w:rPr>
        <w:fldChar w:fldCharType="begin"/>
      </w:r>
      <w:r>
        <w:rPr>
          <w:color w:val="auto"/>
          <w:highlight w:val="none"/>
        </w:rPr>
        <w:instrText xml:space="preserve"> HYPERLINK "http://hqc.cxmtc.net/default.html）" </w:instrText>
      </w:r>
      <w:r>
        <w:rPr>
          <w:color w:val="auto"/>
          <w:highlight w:val="none"/>
        </w:rPr>
        <w:fldChar w:fldCharType="separate"/>
      </w:r>
      <w:r>
        <w:rPr>
          <w:rFonts w:ascii="Times New Roman" w:hAnsi="Times New Roman" w:eastAsia="宋体" w:cs="Times New Roman"/>
          <w:color w:val="auto"/>
          <w:sz w:val="24"/>
          <w:highlight w:val="none"/>
        </w:rPr>
        <w:t>http://www.cxmtc.net/list/cnhqcPc/38/1055/auto/12/0.html）</w:t>
      </w:r>
      <w:r>
        <w:rPr>
          <w:rFonts w:ascii="Times New Roman" w:hAnsi="Times New Roman" w:eastAsia="宋体" w:cs="Times New Roman"/>
          <w:color w:val="auto"/>
          <w:sz w:val="24"/>
          <w:highlight w:val="none"/>
        </w:rPr>
        <w:fldChar w:fldCharType="end"/>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w:t>
      </w:r>
      <w:r>
        <w:rPr>
          <w:rFonts w:ascii="Times New Roman" w:hAnsi="Times New Roman" w:eastAsia="宋体" w:cs="Times New Roman"/>
          <w:color w:val="auto"/>
          <w:sz w:val="24"/>
          <w:highlight w:val="none"/>
        </w:rPr>
        <w:t>方式：网上自行下载</w:t>
      </w:r>
    </w:p>
    <w:p>
      <w:pPr>
        <w:pStyle w:val="5"/>
        <w:rPr>
          <w:rFonts w:ascii="Times New Roman" w:hAnsi="Times New Roman" w:eastAsia="宋体" w:cs="Times New Roman"/>
          <w:color w:val="auto"/>
          <w:highlight w:val="none"/>
        </w:rPr>
      </w:pPr>
      <w:bookmarkStart w:id="33" w:name="_Toc7038"/>
      <w:bookmarkStart w:id="34" w:name="_Toc26790_WPSOffice_Level2"/>
      <w:bookmarkStart w:id="35" w:name="_Toc35393793"/>
      <w:bookmarkStart w:id="36" w:name="_Toc44621998"/>
      <w:bookmarkStart w:id="37" w:name="_Toc35393624"/>
      <w:r>
        <w:rPr>
          <w:rFonts w:ascii="Times New Roman" w:hAnsi="Times New Roman" w:eastAsia="宋体" w:cs="Times New Roman"/>
          <w:color w:val="auto"/>
          <w:highlight w:val="none"/>
        </w:rPr>
        <w:t xml:space="preserve">1.4 </w:t>
      </w:r>
      <w:r>
        <w:rPr>
          <w:rFonts w:hint="eastAsia" w:ascii="Times New Roman" w:hAnsi="Times New Roman" w:eastAsia="宋体" w:cs="Times New Roman"/>
          <w:color w:val="auto"/>
          <w:highlight w:val="none"/>
        </w:rPr>
        <w:t>比选申请文件</w:t>
      </w:r>
      <w:r>
        <w:rPr>
          <w:rFonts w:ascii="Times New Roman" w:hAnsi="Times New Roman" w:eastAsia="宋体" w:cs="Times New Roman"/>
          <w:color w:val="auto"/>
          <w:highlight w:val="none"/>
        </w:rPr>
        <w:t>提交</w:t>
      </w:r>
      <w:bookmarkEnd w:id="33"/>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w:t>
      </w:r>
      <w:r>
        <w:rPr>
          <w:rFonts w:ascii="Times New Roman" w:hAnsi="Times New Roman" w:eastAsia="宋体" w:cs="Times New Roman"/>
          <w:color w:val="auto"/>
          <w:sz w:val="24"/>
          <w:highlight w:val="none"/>
        </w:rPr>
        <w:t>截止时间</w:t>
      </w:r>
      <w:bookmarkEnd w:id="34"/>
      <w:bookmarkEnd w:id="35"/>
      <w:bookmarkEnd w:id="36"/>
      <w:bookmarkEnd w:id="37"/>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rPr>
        <w:t>2023年</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日09</w:t>
      </w:r>
      <w:r>
        <w:rPr>
          <w:rFonts w:ascii="Times New Roman" w:hAnsi="Times New Roman" w:eastAsia="宋体" w:cs="Times New Roman"/>
          <w:color w:val="auto"/>
          <w:sz w:val="24"/>
          <w:highlight w:val="none"/>
        </w:rPr>
        <w:t>点 00 分至</w:t>
      </w:r>
      <w:r>
        <w:rPr>
          <w:rFonts w:hint="eastAsia" w:ascii="Times New Roman" w:hAnsi="Times New Roman" w:eastAsia="宋体" w:cs="Times New Roman"/>
          <w:color w:val="auto"/>
          <w:sz w:val="24"/>
          <w:highlight w:val="none"/>
        </w:rPr>
        <w:t>09</w:t>
      </w:r>
      <w:r>
        <w:rPr>
          <w:rFonts w:ascii="Times New Roman" w:hAnsi="Times New Roman" w:eastAsia="宋体" w:cs="Times New Roman"/>
          <w:color w:val="auto"/>
          <w:sz w:val="24"/>
          <w:highlight w:val="none"/>
        </w:rPr>
        <w:t>点30 分（北京时间）</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地点：</w:t>
      </w:r>
      <w:r>
        <w:rPr>
          <w:rFonts w:hint="eastAsia" w:ascii="Times New Roman" w:hAnsi="Times New Roman" w:eastAsia="宋体" w:cs="Times New Roman"/>
          <w:color w:val="auto"/>
          <w:sz w:val="24"/>
          <w:highlight w:val="none"/>
        </w:rPr>
        <w:t>楚雄医药高等专科学校远志楼</w:t>
      </w:r>
      <w:r>
        <w:rPr>
          <w:rFonts w:ascii="Times New Roman" w:hAnsi="Times New Roman" w:eastAsia="宋体" w:cs="Times New Roman"/>
          <w:color w:val="auto"/>
          <w:sz w:val="24"/>
          <w:highlight w:val="none"/>
        </w:rPr>
        <w:t>811</w:t>
      </w:r>
      <w:r>
        <w:rPr>
          <w:rFonts w:hint="eastAsia" w:ascii="Times New Roman" w:hAnsi="Times New Roman" w:eastAsia="宋体" w:cs="Times New Roman"/>
          <w:color w:val="auto"/>
          <w:sz w:val="24"/>
          <w:highlight w:val="none"/>
        </w:rPr>
        <w:t>保卫处会议室</w:t>
      </w:r>
    </w:p>
    <w:p>
      <w:pPr>
        <w:pStyle w:val="5"/>
        <w:rPr>
          <w:rFonts w:ascii="Times New Roman" w:hAnsi="Times New Roman" w:eastAsia="宋体" w:cs="Times New Roman"/>
          <w:color w:val="auto"/>
          <w:highlight w:val="none"/>
        </w:rPr>
      </w:pPr>
      <w:bookmarkStart w:id="38" w:name="_Toc14685"/>
      <w:r>
        <w:rPr>
          <w:rFonts w:ascii="Times New Roman" w:hAnsi="Times New Roman" w:eastAsia="宋体" w:cs="Times New Roman"/>
          <w:color w:val="auto"/>
          <w:highlight w:val="none"/>
        </w:rPr>
        <w:t>1.5 开启</w:t>
      </w:r>
      <w:bookmarkEnd w:id="38"/>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w:t>
      </w:r>
      <w:r>
        <w:rPr>
          <w:rFonts w:ascii="Times New Roman" w:hAnsi="Times New Roman" w:eastAsia="宋体" w:cs="Times New Roman"/>
          <w:color w:val="auto"/>
          <w:sz w:val="24"/>
          <w:highlight w:val="none"/>
        </w:rPr>
        <w:t>时间：</w:t>
      </w:r>
      <w:r>
        <w:rPr>
          <w:rFonts w:hint="eastAsia" w:ascii="Times New Roman" w:hAnsi="Times New Roman" w:eastAsia="宋体" w:cs="Times New Roman"/>
          <w:color w:val="auto"/>
          <w:sz w:val="24"/>
          <w:highlight w:val="none"/>
        </w:rPr>
        <w:t>2023年</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日09</w:t>
      </w:r>
      <w:r>
        <w:rPr>
          <w:rFonts w:ascii="Times New Roman" w:hAnsi="Times New Roman" w:eastAsia="宋体" w:cs="Times New Roman"/>
          <w:color w:val="auto"/>
          <w:sz w:val="24"/>
          <w:highlight w:val="none"/>
        </w:rPr>
        <w:t>点30 分（北京时间）</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地点：</w:t>
      </w:r>
      <w:bookmarkStart w:id="39" w:name="_Toc4901_WPSOffice_Level2"/>
      <w:r>
        <w:rPr>
          <w:rFonts w:hint="eastAsia" w:ascii="Times New Roman" w:hAnsi="Times New Roman" w:eastAsia="宋体" w:cs="Times New Roman"/>
          <w:color w:val="auto"/>
          <w:sz w:val="24"/>
          <w:highlight w:val="none"/>
        </w:rPr>
        <w:t>楚雄医药高等专科学校远志楼</w:t>
      </w:r>
      <w:r>
        <w:rPr>
          <w:rFonts w:ascii="Times New Roman" w:hAnsi="Times New Roman" w:eastAsia="宋体" w:cs="Times New Roman"/>
          <w:color w:val="auto"/>
          <w:sz w:val="24"/>
          <w:highlight w:val="none"/>
        </w:rPr>
        <w:t>811</w:t>
      </w:r>
      <w:r>
        <w:rPr>
          <w:rFonts w:hint="eastAsia" w:ascii="Times New Roman" w:hAnsi="Times New Roman" w:eastAsia="宋体" w:cs="Times New Roman"/>
          <w:color w:val="auto"/>
          <w:sz w:val="24"/>
          <w:highlight w:val="none"/>
        </w:rPr>
        <w:t>保卫处会议室</w:t>
      </w:r>
    </w:p>
    <w:bookmarkEnd w:id="39"/>
    <w:p>
      <w:pPr>
        <w:pStyle w:val="5"/>
        <w:rPr>
          <w:rFonts w:ascii="Times New Roman" w:hAnsi="Times New Roman" w:eastAsia="宋体" w:cs="Times New Roman"/>
          <w:color w:val="auto"/>
          <w:sz w:val="24"/>
          <w:highlight w:val="none"/>
        </w:rPr>
      </w:pPr>
      <w:bookmarkStart w:id="40" w:name="_Toc30065_WPSOffice_Level2"/>
      <w:bookmarkStart w:id="41" w:name="_Toc35393626"/>
      <w:bookmarkStart w:id="42" w:name="_Toc44622000"/>
      <w:bookmarkStart w:id="43" w:name="_Toc35393795"/>
      <w:bookmarkStart w:id="44" w:name="_Toc18044"/>
      <w:r>
        <w:rPr>
          <w:rFonts w:ascii="Times New Roman" w:hAnsi="Times New Roman" w:eastAsia="宋体" w:cs="Times New Roman"/>
          <w:color w:val="auto"/>
          <w:highlight w:val="none"/>
        </w:rPr>
        <w:t>1.6 其他补充事宜</w:t>
      </w:r>
      <w:bookmarkEnd w:id="40"/>
      <w:bookmarkEnd w:id="41"/>
      <w:bookmarkEnd w:id="42"/>
      <w:bookmarkEnd w:id="43"/>
      <w:bookmarkEnd w:id="44"/>
    </w:p>
    <w:p>
      <w:pPr>
        <w:spacing w:line="460" w:lineRule="exact"/>
        <w:ind w:firstLine="48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w:t>
      </w:r>
      <w:r>
        <w:rPr>
          <w:rFonts w:ascii="Times New Roman" w:hAnsi="Times New Roman" w:eastAsia="宋体" w:cs="Times New Roman"/>
          <w:color w:val="auto"/>
          <w:sz w:val="24"/>
          <w:highlight w:val="none"/>
        </w:rPr>
        <w:t>本项目采用纸质评标，在规定的</w:t>
      </w:r>
      <w:r>
        <w:rPr>
          <w:rFonts w:hint="eastAsia" w:ascii="Times New Roman" w:hAnsi="Times New Roman" w:eastAsia="宋体" w:cs="Times New Roman"/>
          <w:color w:val="auto"/>
          <w:sz w:val="24"/>
          <w:highlight w:val="none"/>
        </w:rPr>
        <w:t>比选申请文件</w:t>
      </w:r>
      <w:r>
        <w:rPr>
          <w:rFonts w:ascii="Times New Roman" w:hAnsi="Times New Roman" w:eastAsia="宋体" w:cs="Times New Roman"/>
          <w:color w:val="auto"/>
          <w:sz w:val="24"/>
          <w:highlight w:val="none"/>
        </w:rPr>
        <w:t>递交的时间现场报名并递</w:t>
      </w:r>
      <w:r>
        <w:rPr>
          <w:rFonts w:hint="eastAsia" w:ascii="Times New Roman" w:hAnsi="Times New Roman" w:eastAsia="宋体" w:cs="Times New Roman"/>
          <w:color w:val="auto"/>
          <w:sz w:val="24"/>
          <w:highlight w:val="none"/>
        </w:rPr>
        <w:t>比选申请文件</w:t>
      </w:r>
      <w:r>
        <w:rPr>
          <w:rFonts w:ascii="Times New Roman" w:hAnsi="Times New Roman" w:eastAsia="宋体" w:cs="Times New Roman"/>
          <w:color w:val="auto"/>
          <w:sz w:val="24"/>
          <w:highlight w:val="none"/>
        </w:rPr>
        <w:t>。</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递交</w:t>
      </w:r>
      <w:r>
        <w:rPr>
          <w:rFonts w:hint="eastAsia" w:ascii="Times New Roman" w:hAnsi="Times New Roman" w:eastAsia="宋体" w:cs="Times New Roman"/>
          <w:color w:val="auto"/>
          <w:sz w:val="24"/>
          <w:highlight w:val="none"/>
        </w:rPr>
        <w:t>比选申请文件</w:t>
      </w:r>
      <w:r>
        <w:rPr>
          <w:rFonts w:ascii="Times New Roman" w:hAnsi="Times New Roman" w:eastAsia="宋体" w:cs="Times New Roman"/>
          <w:color w:val="auto"/>
          <w:sz w:val="24"/>
          <w:highlight w:val="none"/>
        </w:rPr>
        <w:t>截止时间到，仍未按</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文件的要求到达，视为自动放弃</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w:t>
      </w:r>
    </w:p>
    <w:p>
      <w:pPr>
        <w:pStyle w:val="5"/>
        <w:rPr>
          <w:rFonts w:ascii="Times New Roman" w:hAnsi="Times New Roman" w:eastAsia="宋体" w:cs="Times New Roman"/>
          <w:color w:val="auto"/>
          <w:highlight w:val="none"/>
        </w:rPr>
      </w:pPr>
      <w:bookmarkStart w:id="45" w:name="_Toc14559"/>
      <w:bookmarkStart w:id="46" w:name="_Toc28359008"/>
      <w:bookmarkStart w:id="47" w:name="_Toc14054_WPSOffice_Level2"/>
      <w:bookmarkStart w:id="48" w:name="_Toc35393627"/>
      <w:bookmarkStart w:id="49" w:name="_Toc28359085"/>
      <w:bookmarkStart w:id="50" w:name="_Toc35393796"/>
      <w:bookmarkStart w:id="51" w:name="_Toc44622001"/>
      <w:r>
        <w:rPr>
          <w:rFonts w:ascii="Times New Roman" w:hAnsi="Times New Roman" w:eastAsia="宋体" w:cs="Times New Roman"/>
          <w:color w:val="auto"/>
          <w:highlight w:val="none"/>
        </w:rPr>
        <w:t xml:space="preserve">1.7 </w:t>
      </w:r>
      <w:r>
        <w:rPr>
          <w:rFonts w:hint="eastAsia" w:ascii="Times New Roman" w:hAnsi="Times New Roman" w:eastAsia="宋体" w:cs="Times New Roman"/>
          <w:color w:val="auto"/>
          <w:highlight w:val="none"/>
        </w:rPr>
        <w:t>比选保证金</w:t>
      </w:r>
      <w:bookmarkEnd w:id="45"/>
    </w:p>
    <w:p>
      <w:pPr>
        <w:spacing w:line="460" w:lineRule="exact"/>
        <w:ind w:firstLine="480" w:firstLineChars="200"/>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sz w:val="24"/>
          <w:highlight w:val="none"/>
        </w:rPr>
        <w:t>比选保证金：申请人在参选时需准</w:t>
      </w:r>
      <w:r>
        <w:rPr>
          <w:rFonts w:hint="eastAsia" w:ascii="Times New Roman" w:hAnsi="Times New Roman" w:eastAsia="宋体" w:cs="Times New Roman"/>
          <w:color w:val="auto"/>
          <w:sz w:val="24"/>
          <w:highlight w:val="none"/>
        </w:rPr>
        <w:t>备10000.00元（大写：人民币壹万元整）作为</w:t>
      </w:r>
      <w:r>
        <w:rPr>
          <w:rFonts w:hint="eastAsia" w:ascii="Times New Roman" w:hAnsi="Times New Roman" w:eastAsia="宋体" w:cs="Times New Roman"/>
          <w:color w:val="auto"/>
          <w:sz w:val="24"/>
          <w:highlight w:val="none"/>
        </w:rPr>
        <w:t>比选保证金，请自备信封，当场清点密封后递交。未中选申请人的保证金在比选结束后当场退还，中选人的参选保证金在合同签订后无息退还。未提交保证金不得参加本项目。</w:t>
      </w:r>
    </w:p>
    <w:p>
      <w:pPr>
        <w:pStyle w:val="5"/>
        <w:rPr>
          <w:rFonts w:ascii="Times New Roman" w:hAnsi="Times New Roman" w:eastAsia="宋体" w:cs="Times New Roman"/>
          <w:color w:val="auto"/>
          <w:highlight w:val="none"/>
        </w:rPr>
      </w:pPr>
      <w:bookmarkStart w:id="52" w:name="_Toc27302"/>
      <w:r>
        <w:rPr>
          <w:rFonts w:hint="eastAsia" w:ascii="Times New Roman" w:hAnsi="Times New Roman" w:eastAsia="宋体" w:cs="Times New Roman"/>
          <w:color w:val="auto"/>
          <w:highlight w:val="none"/>
        </w:rPr>
        <w:t>1.8疫情防控要求</w:t>
      </w:r>
      <w:bookmarkEnd w:id="52"/>
    </w:p>
    <w:p>
      <w:pPr>
        <w:spacing w:line="460" w:lineRule="exact"/>
        <w:ind w:firstLine="480" w:firstLineChars="200"/>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比选申请人入楚参与比选时，应严格按照楚雄州及学校新冠疫情防控要求应主动出示健康码绿码、已接种新冠疫苗、体温低于37.3℃，无发热、咳嗽等症状，并按要求佩戴口罩。比选申请人授权代理人现场递交比选申请文件时，一家申请人仅限1人。</w:t>
      </w:r>
    </w:p>
    <w:p>
      <w:pPr>
        <w:pStyle w:val="5"/>
        <w:tabs>
          <w:tab w:val="left" w:pos="3353"/>
        </w:tabs>
        <w:rPr>
          <w:rFonts w:ascii="Times New Roman" w:hAnsi="Times New Roman" w:eastAsia="宋体" w:cs="Times New Roman"/>
          <w:color w:val="auto"/>
          <w:highlight w:val="none"/>
        </w:rPr>
      </w:pPr>
      <w:bookmarkStart w:id="53" w:name="_Toc30701"/>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9</w:t>
      </w:r>
      <w:bookmarkEnd w:id="46"/>
      <w:bookmarkEnd w:id="47"/>
      <w:bookmarkEnd w:id="48"/>
      <w:bookmarkEnd w:id="49"/>
      <w:bookmarkEnd w:id="50"/>
      <w:bookmarkEnd w:id="51"/>
      <w:r>
        <w:rPr>
          <w:rFonts w:ascii="Times New Roman" w:hAnsi="Times New Roman" w:eastAsia="宋体" w:cs="Times New Roman"/>
          <w:color w:val="auto"/>
          <w:highlight w:val="none"/>
        </w:rPr>
        <w:t>联系方式</w:t>
      </w:r>
      <w:bookmarkEnd w:id="53"/>
    </w:p>
    <w:p>
      <w:pPr>
        <w:spacing w:line="460" w:lineRule="exact"/>
        <w:ind w:firstLine="480" w:firstLineChars="200"/>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采购人</w:t>
      </w:r>
      <w:r>
        <w:rPr>
          <w:rFonts w:ascii="Times New Roman" w:hAnsi="Times New Roman" w:eastAsia="宋体" w:cs="Times New Roman"/>
          <w:color w:val="auto"/>
          <w:kern w:val="0"/>
          <w:sz w:val="24"/>
          <w:highlight w:val="none"/>
        </w:rPr>
        <w:t>：楚雄医药高等专科学校</w:t>
      </w:r>
    </w:p>
    <w:p>
      <w:pPr>
        <w:spacing w:line="460" w:lineRule="exact"/>
        <w:ind w:firstLine="480" w:firstLineChars="20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地 址：楚雄市东瓜镇</w:t>
      </w:r>
    </w:p>
    <w:p>
      <w:pPr>
        <w:spacing w:line="460" w:lineRule="exact"/>
        <w:ind w:firstLine="480" w:firstLineChars="20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联系人：杨老师</w:t>
      </w:r>
    </w:p>
    <w:p>
      <w:pPr>
        <w:spacing w:line="460" w:lineRule="exact"/>
        <w:ind w:firstLine="480" w:firstLineChars="20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联系方式：0878-3875679</w:t>
      </w:r>
    </w:p>
    <w:p>
      <w:pPr>
        <w:pStyle w:val="24"/>
        <w:ind w:firstLine="480"/>
        <w:rPr>
          <w:rFonts w:ascii="Times New Roman" w:hAnsi="Times New Roman" w:eastAsia="宋体" w:cs="Times New Roman"/>
          <w:color w:val="auto"/>
          <w:sz w:val="24"/>
          <w:highlight w:val="none"/>
        </w:rPr>
      </w:pPr>
    </w:p>
    <w:p>
      <w:pPr>
        <w:pStyle w:val="24"/>
        <w:ind w:firstLine="480"/>
        <w:rPr>
          <w:rFonts w:ascii="Times New Roman" w:hAnsi="Times New Roman" w:eastAsia="宋体" w:cs="Times New Roman"/>
          <w:color w:val="auto"/>
          <w:sz w:val="24"/>
          <w:highlight w:val="none"/>
        </w:rPr>
        <w:sectPr>
          <w:headerReference r:id="rId9" w:type="default"/>
          <w:footerReference r:id="rId10" w:type="default"/>
          <w:pgSz w:w="11906" w:h="16838"/>
          <w:pgMar w:top="1418" w:right="1134" w:bottom="1134" w:left="1417" w:header="936" w:footer="720" w:gutter="0"/>
          <w:cols w:space="720" w:num="1"/>
          <w:docGrid w:linePitch="331" w:charSpace="0"/>
        </w:sectPr>
      </w:pPr>
    </w:p>
    <w:p>
      <w:pPr>
        <w:pStyle w:val="4"/>
        <w:jc w:val="center"/>
        <w:rPr>
          <w:rFonts w:ascii="宋体" w:hAnsi="宋体" w:eastAsia="宋体" w:cs="宋体"/>
          <w:color w:val="auto"/>
          <w:highlight w:val="none"/>
        </w:rPr>
      </w:pPr>
      <w:bookmarkStart w:id="54" w:name="_Toc60996675"/>
      <w:bookmarkStart w:id="55" w:name="_Toc25948_WPSOffice_Level1"/>
      <w:bookmarkStart w:id="56" w:name="_Toc28655"/>
      <w:bookmarkStart w:id="57" w:name="_第二章__投标人须知"/>
      <w:r>
        <w:rPr>
          <w:rFonts w:ascii="Times New Roman" w:hAnsi="Times New Roman" w:eastAsia="宋体" w:cs="Times New Roman"/>
          <w:color w:val="auto"/>
          <w:highlight w:val="none"/>
        </w:rPr>
        <w:t>第二章</w:t>
      </w:r>
      <w:bookmarkEnd w:id="54"/>
      <w:bookmarkEnd w:id="55"/>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申请人</w:t>
      </w:r>
      <w:r>
        <w:rPr>
          <w:rFonts w:ascii="Times New Roman" w:hAnsi="Times New Roman" w:eastAsia="宋体" w:cs="Times New Roman"/>
          <w:color w:val="auto"/>
          <w:highlight w:val="none"/>
        </w:rPr>
        <w:t>须知</w:t>
      </w:r>
      <w:bookmarkEnd w:id="56"/>
    </w:p>
    <w:p>
      <w:pP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bookmarkStart w:id="58" w:name="_Toc20825"/>
      <w:r>
        <w:rPr>
          <w:rStyle w:val="32"/>
          <w:rFonts w:hint="eastAsia" w:ascii="Times New Roman" w:hAnsi="Times New Roman" w:eastAsia="宋体" w:cs="Times New Roman"/>
          <w:color w:val="auto"/>
          <w:highlight w:val="none"/>
        </w:rPr>
        <w:t>1、申请人须知前附表</w:t>
      </w:r>
      <w:bookmarkEnd w:id="58"/>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trPr>
        <w:tc>
          <w:tcPr>
            <w:tcW w:w="709" w:type="dxa"/>
            <w:tcBorders>
              <w:top w:val="thinThickSmallGap" w:color="auto" w:sz="18" w:space="0"/>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序号</w:t>
            </w:r>
          </w:p>
        </w:tc>
        <w:tc>
          <w:tcPr>
            <w:tcW w:w="1843" w:type="dxa"/>
            <w:tcBorders>
              <w:top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项目名称</w:t>
            </w:r>
          </w:p>
        </w:tc>
        <w:tc>
          <w:tcPr>
            <w:tcW w:w="6520" w:type="dxa"/>
            <w:tcBorders>
              <w:top w:val="thinThickSmallGap" w:color="auto" w:sz="18" w:space="0"/>
              <w:right w:val="thickThin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w:t>
            </w:r>
          </w:p>
        </w:tc>
        <w:tc>
          <w:tcPr>
            <w:tcW w:w="1843" w:type="dxa"/>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采购单位</w:t>
            </w:r>
          </w:p>
        </w:tc>
        <w:tc>
          <w:tcPr>
            <w:tcW w:w="6520" w:type="dxa"/>
            <w:tcBorders>
              <w:right w:val="thickThinSmallGap" w:color="auto" w:sz="18" w:space="0"/>
            </w:tcBorders>
            <w:noWrap/>
            <w:vAlign w:val="center"/>
          </w:tcPr>
          <w:p>
            <w:pPr>
              <w:pStyle w:val="24"/>
              <w:ind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采购人</w:t>
            </w:r>
            <w:r>
              <w:rPr>
                <w:rFonts w:ascii="Times New Roman" w:hAnsi="Times New Roman" w:eastAsia="宋体" w:cs="Times New Roman"/>
                <w:color w:val="auto"/>
                <w:sz w:val="21"/>
                <w:szCs w:val="21"/>
                <w:highlight w:val="none"/>
              </w:rPr>
              <w:t>：楚雄医药高等专科学校</w:t>
            </w:r>
          </w:p>
          <w:p>
            <w:pPr>
              <w:pStyle w:val="24"/>
              <w:ind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地 址：楚雄市东瓜镇</w:t>
            </w:r>
          </w:p>
          <w:p>
            <w:pPr>
              <w:pStyle w:val="24"/>
              <w:ind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联系人：杨老师</w:t>
            </w:r>
          </w:p>
          <w:p>
            <w:pPr>
              <w:pStyle w:val="24"/>
              <w:ind w:firstLine="0" w:firstLineChars="0"/>
              <w:rPr>
                <w:color w:val="auto"/>
                <w:highlight w:val="none"/>
              </w:rPr>
            </w:pPr>
            <w:r>
              <w:rPr>
                <w:rFonts w:ascii="Times New Roman" w:hAnsi="Times New Roman" w:eastAsia="宋体" w:cs="Times New Roman"/>
                <w:color w:val="auto"/>
                <w:sz w:val="21"/>
                <w:szCs w:val="21"/>
                <w:highlight w:val="none"/>
              </w:rPr>
              <w:t>联系方式：0878-3875679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2</w:t>
            </w:r>
          </w:p>
        </w:tc>
        <w:tc>
          <w:tcPr>
            <w:tcW w:w="1843" w:type="dxa"/>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采购代理机构</w:t>
            </w:r>
          </w:p>
        </w:tc>
        <w:tc>
          <w:tcPr>
            <w:tcW w:w="6520" w:type="dxa"/>
            <w:tcBorders>
              <w:right w:val="thickThinSmallGap" w:color="auto" w:sz="18" w:space="0"/>
            </w:tcBorders>
            <w:noWrap/>
            <w:vAlign w:val="center"/>
          </w:tcPr>
          <w:p>
            <w:pPr>
              <w:spacing w:line="460"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3</w:t>
            </w:r>
          </w:p>
        </w:tc>
        <w:tc>
          <w:tcPr>
            <w:tcW w:w="1843" w:type="dxa"/>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项目名称</w:t>
            </w:r>
          </w:p>
        </w:tc>
        <w:tc>
          <w:tcPr>
            <w:tcW w:w="6520" w:type="dxa"/>
            <w:tcBorders>
              <w:right w:val="thickThinSmallGap" w:color="auto" w:sz="18" w:space="0"/>
            </w:tcBorders>
            <w:noWrap/>
            <w:vAlign w:val="center"/>
          </w:tcPr>
          <w:p>
            <w:pPr>
              <w:spacing w:line="3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楚雄医药高等专科学校食堂大宗食材定点供应商采购项目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4</w:t>
            </w:r>
          </w:p>
        </w:tc>
        <w:tc>
          <w:tcPr>
            <w:tcW w:w="1843" w:type="dxa"/>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项目编号</w:t>
            </w:r>
          </w:p>
        </w:tc>
        <w:tc>
          <w:tcPr>
            <w:tcW w:w="6520" w:type="dxa"/>
            <w:tcBorders>
              <w:right w:val="thickThinSmallGap" w:color="auto" w:sz="18" w:space="0"/>
            </w:tcBorders>
            <w:noWrap/>
            <w:vAlign w:val="center"/>
          </w:tcPr>
          <w:p>
            <w:pPr>
              <w:spacing w:line="46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CXYZC【202</w:t>
            </w:r>
            <w:r>
              <w:rPr>
                <w:rFonts w:hint="eastAsia"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rPr>
              <w:t>】第</w:t>
            </w:r>
            <w:r>
              <w:rPr>
                <w:rFonts w:hint="eastAsia" w:ascii="Times New Roman" w:hAnsi="Times New Roman" w:eastAsia="宋体" w:cs="Times New Roman"/>
                <w:color w:val="auto"/>
                <w:szCs w:val="21"/>
                <w:highlight w:val="none"/>
                <w:lang w:val="en-US" w:eastAsia="zh-CN"/>
              </w:rPr>
              <w:t>2</w:t>
            </w:r>
            <w:r>
              <w:rPr>
                <w:rFonts w:ascii="Times New Roman" w:hAnsi="Times New Roman" w:eastAsia="宋体" w:cs="Times New Roman"/>
                <w:color w:val="auto"/>
                <w:szCs w:val="21"/>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5</w:t>
            </w:r>
          </w:p>
        </w:tc>
        <w:tc>
          <w:tcPr>
            <w:tcW w:w="1843" w:type="dxa"/>
            <w:noWrap/>
            <w:vAlign w:val="center"/>
          </w:tcPr>
          <w:p>
            <w:pPr>
              <w:pStyle w:val="14"/>
              <w:spacing w:line="4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采购方式</w:t>
            </w:r>
          </w:p>
        </w:tc>
        <w:tc>
          <w:tcPr>
            <w:tcW w:w="6520" w:type="dxa"/>
            <w:tcBorders>
              <w:right w:val="thickThinSmallGap" w:color="auto" w:sz="18" w:space="0"/>
            </w:tcBorders>
            <w:noWrap/>
            <w:vAlign w:val="center"/>
          </w:tcPr>
          <w:p>
            <w:pPr>
              <w:widowControl/>
              <w:shd w:val="clear" w:color="auto" w:fill="FFFFFF"/>
              <w:spacing w:line="360" w:lineRule="exact"/>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6</w:t>
            </w:r>
          </w:p>
        </w:tc>
        <w:tc>
          <w:tcPr>
            <w:tcW w:w="1843" w:type="dxa"/>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szCs w:val="21"/>
                <w:highlight w:val="none"/>
              </w:rPr>
              <w:t>采购需求</w:t>
            </w:r>
          </w:p>
        </w:tc>
        <w:tc>
          <w:tcPr>
            <w:tcW w:w="6520" w:type="dxa"/>
            <w:tcBorders>
              <w:right w:val="thickThinSmallGap" w:color="auto" w:sz="18" w:space="0"/>
            </w:tcBorders>
            <w:noWrap/>
            <w:vAlign w:val="center"/>
          </w:tcPr>
          <w:p>
            <w:pPr>
              <w:spacing w:line="3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采购我校食堂大宗食材定点供应商一家，保证</w:t>
            </w:r>
            <w:r>
              <w:rPr>
                <w:rFonts w:hint="eastAsia" w:ascii="Times New Roman" w:hAnsi="Times New Roman" w:eastAsia="宋体" w:cs="Times New Roman"/>
                <w:color w:val="auto"/>
                <w:szCs w:val="21"/>
                <w:highlight w:val="none"/>
                <w:lang w:val="en-US" w:eastAsia="zh-CN"/>
              </w:rPr>
              <w:t>采购</w:t>
            </w:r>
            <w:r>
              <w:rPr>
                <w:rFonts w:hint="eastAsia" w:ascii="Times New Roman" w:hAnsi="Times New Roman" w:eastAsia="宋体" w:cs="Times New Roman"/>
                <w:color w:val="auto"/>
                <w:szCs w:val="21"/>
                <w:highlight w:val="none"/>
              </w:rPr>
              <w:t>人食堂日常供餐食材供应及应急情况下的食材储备。学生在校日按需提前配送到校，蔬菜类、肉类每天配送一次，佐料干菜类每2周配送一次。每天配送一次的学校货物到校时间不得晚于早上8:30分，中选后以各食堂提供的供货清单为准。本项目的采购内容等详见第五章“采购需求”，各类食材的种类须包括但不限于</w:t>
            </w:r>
            <w:r>
              <w:rPr>
                <w:rFonts w:hint="eastAsia" w:ascii="Times New Roman" w:hAnsi="Times New Roman" w:eastAsia="宋体" w:cs="Times New Roman"/>
                <w:color w:val="auto"/>
                <w:szCs w:val="21"/>
                <w:highlight w:val="none"/>
                <w:lang w:val="en-US" w:eastAsia="zh-CN"/>
              </w:rPr>
              <w:t>采购需求中</w:t>
            </w:r>
            <w:r>
              <w:rPr>
                <w:rFonts w:hint="eastAsia" w:ascii="Times New Roman" w:hAnsi="Times New Roman" w:eastAsia="宋体" w:cs="Times New Roman"/>
                <w:color w:val="auto"/>
                <w:szCs w:val="21"/>
                <w:highlight w:val="none"/>
              </w:rPr>
              <w:t>各表所列种类，评审时将结合比选申请人提供的种类正负偏离情况进行打分。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7</w:t>
            </w:r>
          </w:p>
        </w:tc>
        <w:tc>
          <w:tcPr>
            <w:tcW w:w="1843" w:type="dxa"/>
            <w:noWrap/>
            <w:vAlign w:val="center"/>
          </w:tcPr>
          <w:p>
            <w:pPr>
              <w:spacing w:line="30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合同履行期限</w:t>
            </w:r>
          </w:p>
        </w:tc>
        <w:tc>
          <w:tcPr>
            <w:tcW w:w="6520" w:type="dxa"/>
            <w:tcBorders>
              <w:right w:val="thickThinSmallGap" w:color="auto" w:sz="18" w:space="0"/>
            </w:tcBorders>
            <w:noWrap/>
            <w:vAlign w:val="center"/>
          </w:tcPr>
          <w:p>
            <w:pPr>
              <w:spacing w:line="400" w:lineRule="exact"/>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rPr>
              <w:t>2023年2月至2024年1月，如因遇政策变化等不可抗因素，合作终止。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8</w:t>
            </w:r>
          </w:p>
        </w:tc>
        <w:tc>
          <w:tcPr>
            <w:tcW w:w="1843" w:type="dxa"/>
            <w:noWrap/>
            <w:vAlign w:val="center"/>
          </w:tcPr>
          <w:p>
            <w:pPr>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供货方式</w:t>
            </w:r>
          </w:p>
        </w:tc>
        <w:tc>
          <w:tcPr>
            <w:tcW w:w="6520" w:type="dxa"/>
            <w:tcBorders>
              <w:right w:val="thickThinSmallGap" w:color="auto" w:sz="18" w:space="0"/>
            </w:tcBorders>
            <w:noWrap/>
            <w:vAlign w:val="center"/>
          </w:tcPr>
          <w:p>
            <w:pPr>
              <w:spacing w:line="276" w:lineRule="auto"/>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根据指定的供货地点及批准的供货方案，专人、专车派送，现场交货并验收合格。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9</w:t>
            </w:r>
          </w:p>
        </w:tc>
        <w:tc>
          <w:tcPr>
            <w:tcW w:w="1843" w:type="dxa"/>
            <w:noWrap/>
            <w:vAlign w:val="center"/>
          </w:tcPr>
          <w:p>
            <w:pPr>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质量要求</w:t>
            </w:r>
          </w:p>
        </w:tc>
        <w:tc>
          <w:tcPr>
            <w:tcW w:w="6520" w:type="dxa"/>
            <w:tcBorders>
              <w:right w:val="thickThinSmallGap" w:color="auto" w:sz="18" w:space="0"/>
            </w:tcBorders>
            <w:noWrap/>
            <w:vAlign w:val="center"/>
          </w:tcPr>
          <w:p>
            <w:pPr>
              <w:spacing w:line="276" w:lineRule="auto"/>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包含但不限于以下标准：蔬菜符合CB/T23351-2009《国家新鲜水果和蔬菜质量标准》及《中华人民共和国食品安全法》和中华人民共和国相关质量检验标准、卫生标准及地方的相关法律法规要求；肉禽符合(中华人民共和国标准鲜禽肉卫生标准》、《中华人民共和国食品安全法》和中华人民共和国相关质量检验标准、卫生标准及地方的相关法律法规要求；其他种类符合《中华人民共和国食品安全法》和中华人民共和国相关质量检验标准、卫生标准及地方的相关法律法规要求；依法建立并落实食品（原料）进货查验制度，确保食品安全。所有食品为非转基因食品，确保绿色健康。质量必须符合《国家食品卫生标准》及国家、行业相关的规范、标准，满足比选人验收标准，并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10</w:t>
            </w:r>
          </w:p>
        </w:tc>
        <w:tc>
          <w:tcPr>
            <w:tcW w:w="1843" w:type="dxa"/>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申请人</w:t>
            </w:r>
            <w:r>
              <w:rPr>
                <w:rFonts w:ascii="Times New Roman" w:hAnsi="Times New Roman" w:eastAsia="宋体" w:cs="Times New Roman"/>
                <w:color w:val="auto"/>
                <w:kern w:val="0"/>
                <w:szCs w:val="21"/>
                <w:highlight w:val="none"/>
              </w:rPr>
              <w:t>资格要求</w:t>
            </w:r>
          </w:p>
        </w:tc>
        <w:tc>
          <w:tcPr>
            <w:tcW w:w="6520" w:type="dxa"/>
            <w:tcBorders>
              <w:right w:val="thickThinSmallGap" w:color="auto" w:sz="18" w:space="0"/>
            </w:tcBorders>
            <w:noWrap/>
            <w:vAlign w:val="center"/>
          </w:tcPr>
          <w:p>
            <w:pPr>
              <w:spacing w:line="40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、满足《中华人民共和国政府采购法》第二十二条规定：</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（1）具有独立承担民事责任的能力（具有有效的营业执照，经营范围应与本项目相符合）；</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（2）具有良好的商业信誉和健全的财务会计制度；</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（3）具有履行合同所必需的设备和专业技术能力；</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（4）具有依法缴纳税收和社会保障资金的良好记录；</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（5）参加政府采购活动前三年内在经营活动中没有重大违法记录；</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（6）法律、行政法规规定的其他条件。</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2、落实政府采购政策需满足的资格要求：无。</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3、本项目的特定资格要求：</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（1）具有有效的《食品流通许可证》或《食品经营许可证》。</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近三年内在经营活动中没有重大违法记录或出现重大质量问题；没有处于被责令停业，</w:t>
            </w:r>
            <w:r>
              <w:rPr>
                <w:rFonts w:hint="eastAsia" w:ascii="Times New Roman" w:hAnsi="Times New Roman" w:eastAsia="宋体" w:cs="Times New Roman"/>
                <w:color w:val="auto"/>
                <w:szCs w:val="21"/>
                <w:highlight w:val="none"/>
              </w:rPr>
              <w:t>比选申请</w:t>
            </w:r>
            <w:r>
              <w:rPr>
                <w:rFonts w:ascii="Times New Roman" w:hAnsi="Times New Roman" w:eastAsia="宋体" w:cs="Times New Roman"/>
                <w:color w:val="auto"/>
                <w:szCs w:val="21"/>
                <w:highlight w:val="none"/>
              </w:rPr>
              <w:t>资格被取消，财产被接管、冻结、破产状态；没有被纳入违约失信企业名单、列为失信被执行人。</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比选人在比选截止时间前未被列入“信用中国”网站（www.creditchina.gov.cn）失信被执行人、重大税收违法案件当事人名单、政府采购严重违法失信行为记录名单及中国政府采购网（www.ccgp.gov.cn）“政府采购严重违法失信行为信息记录”（提供查询截图和承诺函）。若为失信企业，将取消成交资格。</w:t>
            </w:r>
          </w:p>
          <w:p>
            <w:pPr>
              <w:spacing w:line="40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4、申请人</w:t>
            </w:r>
            <w:r>
              <w:rPr>
                <w:rFonts w:ascii="Times New Roman" w:hAnsi="Times New Roman" w:eastAsia="宋体" w:cs="Times New Roman"/>
                <w:color w:val="auto"/>
                <w:szCs w:val="21"/>
                <w:highlight w:val="none"/>
              </w:rPr>
              <w:t>提供的资料中被查实有虚假证明材料的，采购人有权取消其</w:t>
            </w:r>
            <w:r>
              <w:rPr>
                <w:rFonts w:hint="eastAsia" w:ascii="Times New Roman" w:hAnsi="Times New Roman" w:eastAsia="宋体" w:cs="Times New Roman"/>
                <w:color w:val="auto"/>
                <w:szCs w:val="21"/>
                <w:highlight w:val="none"/>
              </w:rPr>
              <w:t>比选</w:t>
            </w:r>
            <w:r>
              <w:rPr>
                <w:rFonts w:ascii="Times New Roman" w:hAnsi="Times New Roman" w:eastAsia="宋体" w:cs="Times New Roman"/>
                <w:color w:val="auto"/>
                <w:szCs w:val="21"/>
                <w:highlight w:val="none"/>
              </w:rPr>
              <w:t>资格；</w:t>
            </w:r>
            <w:r>
              <w:rPr>
                <w:rFonts w:hint="eastAsia" w:ascii="Times New Roman" w:hAnsi="Times New Roman" w:eastAsia="宋体" w:cs="Times New Roman"/>
                <w:color w:val="auto"/>
                <w:szCs w:val="21"/>
                <w:highlight w:val="none"/>
              </w:rPr>
              <w:t>比选</w:t>
            </w:r>
            <w:r>
              <w:rPr>
                <w:rFonts w:ascii="Times New Roman" w:hAnsi="Times New Roman" w:eastAsia="宋体" w:cs="Times New Roman"/>
                <w:color w:val="auto"/>
                <w:szCs w:val="21"/>
                <w:highlight w:val="none"/>
              </w:rPr>
              <w:t>后中选的，其中选资格无效。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09" w:type="dxa"/>
            <w:tcBorders>
              <w:top w:val="single" w:color="auto" w:sz="4" w:space="0"/>
              <w:left w:val="thinThickSmallGap" w:color="auto" w:sz="18" w:space="0"/>
              <w:bottom w:val="thickThin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1</w:t>
            </w:r>
          </w:p>
        </w:tc>
        <w:tc>
          <w:tcPr>
            <w:tcW w:w="1843" w:type="dxa"/>
            <w:tcBorders>
              <w:top w:val="single" w:color="auto" w:sz="4" w:space="0"/>
              <w:bottom w:val="thickThin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是否接受</w:t>
            </w:r>
            <w:r>
              <w:rPr>
                <w:rFonts w:ascii="Times New Roman" w:hAnsi="Times New Roman" w:eastAsia="宋体" w:cs="Times New Roman"/>
                <w:color w:val="auto"/>
                <w:kern w:val="0"/>
                <w:szCs w:val="21"/>
                <w:highlight w:val="none"/>
              </w:rPr>
              <w:t>联合体</w:t>
            </w:r>
          </w:p>
        </w:tc>
        <w:tc>
          <w:tcPr>
            <w:tcW w:w="6520" w:type="dxa"/>
            <w:tcBorders>
              <w:top w:val="single" w:color="auto" w:sz="4" w:space="0"/>
              <w:bottom w:val="thickThinSmallGap" w:color="auto" w:sz="18" w:space="0"/>
              <w:right w:val="thickThinSmallGap" w:color="auto" w:sz="18" w:space="0"/>
            </w:tcBorders>
            <w:noWrap/>
            <w:vAlign w:val="center"/>
          </w:tcPr>
          <w:p>
            <w:pPr>
              <w:spacing w:line="300" w:lineRule="exact"/>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09" w:type="dxa"/>
            <w:tcBorders>
              <w:top w:val="single" w:color="auto" w:sz="4" w:space="0"/>
              <w:left w:val="thinThickSmallGap" w:color="auto" w:sz="18" w:space="0"/>
              <w:bottom w:val="thickThin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12</w:t>
            </w:r>
          </w:p>
        </w:tc>
        <w:tc>
          <w:tcPr>
            <w:tcW w:w="1843" w:type="dxa"/>
            <w:tcBorders>
              <w:top w:val="single" w:color="auto" w:sz="4" w:space="0"/>
              <w:bottom w:val="thickThin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比选报价</w:t>
            </w:r>
          </w:p>
        </w:tc>
        <w:tc>
          <w:tcPr>
            <w:tcW w:w="6520" w:type="dxa"/>
            <w:tcBorders>
              <w:top w:val="single" w:color="auto" w:sz="4" w:space="0"/>
              <w:bottom w:val="thickThinSmallGap" w:color="auto" w:sz="18" w:space="0"/>
              <w:right w:val="thickThinSmallGap" w:color="auto" w:sz="18" w:space="0"/>
            </w:tcBorders>
            <w:noWrap/>
            <w:vAlign w:val="center"/>
          </w:tcPr>
          <w:p>
            <w:pPr>
              <w:numPr>
                <w:ilvl w:val="0"/>
                <w:numId w:val="3"/>
              </w:numPr>
              <w:ind w:firstLine="0"/>
              <w:rPr>
                <w:rFonts w:ascii="Times New Roman" w:hAnsi="Times New Roman" w:eastAsia="宋体" w:cs="Times New Roman"/>
                <w:color w:val="auto"/>
                <w:highlight w:val="none"/>
              </w:rPr>
            </w:pPr>
            <w:r>
              <w:rPr>
                <w:rFonts w:ascii="Times New Roman" w:hAnsi="Times New Roman" w:eastAsia="宋体" w:cs="Times New Roman"/>
                <w:color w:val="auto"/>
                <w:highlight w:val="none"/>
              </w:rPr>
              <w:t>报价方式按照</w:t>
            </w:r>
            <w:r>
              <w:rPr>
                <w:rFonts w:ascii="Times New Roman" w:hAnsi="Times New Roman" w:eastAsia="宋体" w:cs="Times New Roman"/>
                <w:color w:val="auto"/>
                <w:highlight w:val="none"/>
                <w:u w:val="single"/>
              </w:rPr>
              <w:t>下浮率</w:t>
            </w:r>
            <w:r>
              <w:rPr>
                <w:rFonts w:ascii="Times New Roman" w:hAnsi="Times New Roman" w:eastAsia="宋体" w:cs="Times New Roman"/>
                <w:color w:val="auto"/>
                <w:highlight w:val="none"/>
              </w:rPr>
              <w:t>方式进行报价。【例：基准价为50元/千克，</w:t>
            </w:r>
            <w:r>
              <w:rPr>
                <w:rFonts w:hint="eastAsia" w:ascii="Times New Roman" w:hAnsi="Times New Roman" w:eastAsia="宋体" w:cs="Times New Roman"/>
                <w:color w:val="auto"/>
                <w:highlight w:val="none"/>
              </w:rPr>
              <w:t>比选申请</w:t>
            </w:r>
            <w:r>
              <w:rPr>
                <w:rFonts w:ascii="Times New Roman" w:hAnsi="Times New Roman" w:eastAsia="宋体" w:cs="Times New Roman"/>
                <w:color w:val="auto"/>
                <w:highlight w:val="none"/>
              </w:rPr>
              <w:t>人所报下浮率为15%，则</w:t>
            </w:r>
            <w:r>
              <w:rPr>
                <w:rFonts w:hint="eastAsia" w:ascii="Times New Roman" w:hAnsi="Times New Roman" w:eastAsia="宋体" w:cs="Times New Roman"/>
                <w:color w:val="auto"/>
                <w:highlight w:val="none"/>
              </w:rPr>
              <w:t>采购</w:t>
            </w:r>
            <w:r>
              <w:rPr>
                <w:rFonts w:ascii="Times New Roman" w:hAnsi="Times New Roman" w:eastAsia="宋体" w:cs="Times New Roman"/>
                <w:color w:val="auto"/>
                <w:highlight w:val="none"/>
              </w:rPr>
              <w:t>人与</w:t>
            </w:r>
            <w:r>
              <w:rPr>
                <w:rFonts w:hint="eastAsia" w:ascii="Times New Roman" w:hAnsi="Times New Roman" w:eastAsia="宋体" w:cs="Times New Roman"/>
                <w:color w:val="auto"/>
                <w:highlight w:val="none"/>
              </w:rPr>
              <w:t>比选申请</w:t>
            </w:r>
            <w:r>
              <w:rPr>
                <w:rFonts w:ascii="Times New Roman" w:hAnsi="Times New Roman" w:eastAsia="宋体" w:cs="Times New Roman"/>
                <w:color w:val="auto"/>
                <w:highlight w:val="none"/>
              </w:rPr>
              <w:t>人的结算价格为50元</w:t>
            </w:r>
            <w:r>
              <w:rPr>
                <w:rFonts w:ascii="Arial" w:hAnsi="Arial" w:eastAsia="宋体" w:cs="Arial"/>
                <w:color w:val="auto"/>
                <w:highlight w:val="none"/>
              </w:rPr>
              <w:t>×</w:t>
            </w:r>
            <w:r>
              <w:rPr>
                <w:rFonts w:ascii="Times New Roman" w:hAnsi="Times New Roman" w:eastAsia="宋体" w:cs="Times New Roman"/>
                <w:color w:val="auto"/>
                <w:highlight w:val="none"/>
              </w:rPr>
              <w:t>（1-15%）=42.5元/千克】</w:t>
            </w:r>
          </w:p>
          <w:p>
            <w:pPr>
              <w:numPr>
                <w:ilvl w:val="0"/>
                <w:numId w:val="3"/>
              </w:numPr>
              <w:ind w:firstLine="0"/>
              <w:rPr>
                <w:rFonts w:ascii="Times New Roman" w:hAnsi="Times New Roman" w:eastAsia="宋体" w:cs="Times New Roman"/>
                <w:color w:val="auto"/>
                <w:highlight w:val="none"/>
              </w:rPr>
            </w:pPr>
            <w:r>
              <w:rPr>
                <w:rFonts w:ascii="Times New Roman" w:hAnsi="Times New Roman" w:eastAsia="宋体" w:cs="Times New Roman"/>
                <w:color w:val="auto"/>
                <w:highlight w:val="none"/>
              </w:rPr>
              <w:t>报价应为含税报价，同时结算按以下标准：</w:t>
            </w:r>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t>食材基准价：由学校各食堂餐饮管理服务机构及委托经营人按照采购文件、定点供货合同，轮流每月进行三次市场询价，并提交各类食材基准价交甲方，定点供应商也应同时提交各类食材基准价交甲方，甲方对乙方食材询价过程进行监督，并对乙方及定点供应商提交的食材基准价进行审核，审核通过经三方签字认可后的价格为食材基准价，甲方在要求保证质量的前提下对食材基准价限高不限低。</w:t>
            </w:r>
          </w:p>
          <w:p>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结算</w:t>
            </w:r>
            <w:r>
              <w:rPr>
                <w:rFonts w:hint="eastAsia" w:ascii="Times New Roman" w:hAnsi="Times New Roman" w:eastAsia="宋体" w:cs="Times New Roman"/>
                <w:color w:val="auto"/>
                <w:highlight w:val="none"/>
                <w:lang w:val="en-US" w:eastAsia="zh-CN"/>
              </w:rPr>
              <w:t>价款</w:t>
            </w:r>
            <w:r>
              <w:rPr>
                <w:rFonts w:ascii="Times New Roman" w:hAnsi="Times New Roman" w:eastAsia="宋体" w:cs="Times New Roman"/>
                <w:color w:val="auto"/>
                <w:highlight w:val="none"/>
              </w:rPr>
              <w:t>：按照（1-中</w:t>
            </w:r>
            <w:r>
              <w:rPr>
                <w:rFonts w:hint="eastAsia" w:ascii="Times New Roman" w:hAnsi="Times New Roman" w:eastAsia="宋体" w:cs="Times New Roman"/>
                <w:color w:val="auto"/>
                <w:highlight w:val="none"/>
              </w:rPr>
              <w:t>选</w:t>
            </w:r>
            <w:r>
              <w:rPr>
                <w:rFonts w:ascii="Times New Roman" w:hAnsi="Times New Roman" w:eastAsia="宋体" w:cs="Times New Roman"/>
                <w:color w:val="auto"/>
                <w:highlight w:val="none"/>
              </w:rPr>
              <w:t>下浮率）</w:t>
            </w:r>
            <w:r>
              <w:rPr>
                <w:rFonts w:ascii="Arial" w:hAnsi="Arial" w:eastAsia="宋体" w:cs="Arial"/>
                <w:color w:val="auto"/>
                <w:highlight w:val="none"/>
              </w:rPr>
              <w:t>×</w:t>
            </w:r>
            <w:r>
              <w:rPr>
                <w:rFonts w:hint="eastAsia" w:ascii="Arial" w:hAnsi="Arial" w:eastAsia="宋体" w:cs="Arial"/>
                <w:color w:val="auto"/>
                <w:highlight w:val="none"/>
              </w:rPr>
              <w:t>食材</w:t>
            </w:r>
            <w:r>
              <w:rPr>
                <w:rFonts w:ascii="Times New Roman" w:hAnsi="Times New Roman" w:eastAsia="宋体" w:cs="Times New Roman"/>
                <w:color w:val="auto"/>
                <w:highlight w:val="none"/>
              </w:rPr>
              <w:t>基准价</w:t>
            </w:r>
            <w:r>
              <w:rPr>
                <w:rFonts w:ascii="Arial" w:hAnsi="Arial" w:eastAsia="宋体" w:cs="Arial"/>
                <w:color w:val="auto"/>
                <w:highlight w:val="none"/>
              </w:rPr>
              <w:t>×</w:t>
            </w:r>
            <w:r>
              <w:rPr>
                <w:rFonts w:hint="eastAsia" w:ascii="Arial" w:hAnsi="Arial" w:eastAsia="宋体" w:cs="Arial"/>
                <w:color w:val="auto"/>
                <w:highlight w:val="none"/>
              </w:rPr>
              <w:t>数量据实</w:t>
            </w:r>
            <w:r>
              <w:rPr>
                <w:rFonts w:ascii="Times New Roman" w:hAnsi="Times New Roman" w:eastAsia="宋体" w:cs="Times New Roman"/>
                <w:color w:val="auto"/>
                <w:highlight w:val="none"/>
              </w:rPr>
              <w:t>进</w:t>
            </w:r>
            <w:r>
              <w:rPr>
                <w:rFonts w:ascii="Times New Roman" w:hAnsi="Times New Roman" w:eastAsia="宋体" w:cs="Times New Roman"/>
                <w:color w:val="auto"/>
                <w:highlight w:val="none"/>
              </w:rPr>
              <w:t>行结算。</w:t>
            </w:r>
          </w:p>
          <w:p>
            <w:pPr>
              <w:numPr>
                <w:ilvl w:val="0"/>
                <w:numId w:val="3"/>
              </w:numPr>
              <w:ind w:firstLine="0"/>
              <w:rPr>
                <w:rFonts w:ascii="Times New Roman" w:hAnsi="Times New Roman" w:eastAsia="宋体" w:cs="Times New Roman"/>
                <w:color w:val="auto"/>
                <w:highlight w:val="none"/>
              </w:rPr>
            </w:pPr>
            <w:r>
              <w:rPr>
                <w:rFonts w:ascii="Times New Roman" w:hAnsi="Times New Roman" w:eastAsia="宋体" w:cs="Times New Roman"/>
                <w:color w:val="auto"/>
                <w:highlight w:val="none"/>
              </w:rPr>
              <w:t>结算方式：</w:t>
            </w:r>
            <w:r>
              <w:rPr>
                <w:rFonts w:hint="eastAsia" w:ascii="Times New Roman" w:hAnsi="Times New Roman" w:eastAsia="宋体" w:cs="Times New Roman"/>
                <w:color w:val="auto"/>
                <w:highlight w:val="none"/>
              </w:rPr>
              <w:t>原则上</w:t>
            </w:r>
            <w:r>
              <w:rPr>
                <w:rFonts w:ascii="Times New Roman" w:hAnsi="Times New Roman" w:eastAsia="宋体" w:cs="Times New Roman"/>
                <w:color w:val="auto"/>
                <w:highlight w:val="none"/>
              </w:rPr>
              <w:t>每月月初按学校、学校各食堂餐饮管理服务机构及委托经营人与供货商三方确认的上一个月的实际供货品种</w:t>
            </w:r>
            <w:r>
              <w:rPr>
                <w:rFonts w:hint="eastAsia" w:ascii="Times New Roman" w:hAnsi="Times New Roman" w:eastAsia="宋体" w:cs="Times New Roman"/>
                <w:color w:val="auto"/>
                <w:highlight w:val="none"/>
              </w:rPr>
              <w:t>、单价、</w:t>
            </w:r>
            <w:r>
              <w:rPr>
                <w:rFonts w:ascii="Times New Roman" w:hAnsi="Times New Roman" w:eastAsia="宋体" w:cs="Times New Roman"/>
                <w:color w:val="auto"/>
                <w:highlight w:val="none"/>
              </w:rPr>
              <w:t>数量进行结算转账支付。</w:t>
            </w:r>
          </w:p>
          <w:p>
            <w:pPr>
              <w:numPr>
                <w:ilvl w:val="0"/>
                <w:numId w:val="3"/>
              </w:numPr>
              <w:ind w:firstLine="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比选申请</w:t>
            </w:r>
            <w:r>
              <w:rPr>
                <w:rFonts w:ascii="Times New Roman" w:hAnsi="Times New Roman" w:eastAsia="宋体" w:cs="Times New Roman"/>
                <w:color w:val="auto"/>
                <w:highlight w:val="none"/>
              </w:rPr>
              <w:t>人应根据自身的企业实力以及市场价格，充分考虑可能存在的明示或暗示的风险，合理列报具有竞争力的报价。</w:t>
            </w:r>
          </w:p>
          <w:p>
            <w:pPr>
              <w:numPr>
                <w:ilvl w:val="0"/>
                <w:numId w:val="3"/>
              </w:numPr>
              <w:spacing w:line="300" w:lineRule="exact"/>
              <w:ind w:firstLine="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highlight w:val="none"/>
              </w:rPr>
              <w:t>比选申请</w:t>
            </w:r>
            <w:r>
              <w:rPr>
                <w:rFonts w:ascii="Times New Roman" w:hAnsi="Times New Roman" w:eastAsia="宋体" w:cs="Times New Roman"/>
                <w:color w:val="auto"/>
                <w:highlight w:val="none"/>
              </w:rPr>
              <w:t>人应依据</w:t>
            </w:r>
            <w:r>
              <w:rPr>
                <w:rFonts w:hint="eastAsia" w:ascii="Times New Roman" w:hAnsi="Times New Roman" w:eastAsia="宋体" w:cs="Times New Roman"/>
                <w:color w:val="auto"/>
                <w:highlight w:val="none"/>
              </w:rPr>
              <w:t>比选</w:t>
            </w:r>
            <w:r>
              <w:rPr>
                <w:rFonts w:ascii="Times New Roman" w:hAnsi="Times New Roman" w:eastAsia="宋体" w:cs="Times New Roman"/>
                <w:color w:val="auto"/>
                <w:highlight w:val="none"/>
              </w:rPr>
              <w:t>文件的要求及有关资料自行测算出满足采购要求的货物的竞争性报价，该报价应符合市场行情并能保证</w:t>
            </w:r>
            <w:r>
              <w:rPr>
                <w:rFonts w:hint="eastAsia" w:ascii="Times New Roman" w:hAnsi="Times New Roman" w:eastAsia="宋体" w:cs="Times New Roman"/>
                <w:color w:val="auto"/>
                <w:highlight w:val="none"/>
              </w:rPr>
              <w:t>比选申请</w:t>
            </w:r>
            <w:r>
              <w:rPr>
                <w:rFonts w:ascii="Times New Roman" w:hAnsi="Times New Roman" w:eastAsia="宋体" w:cs="Times New Roman"/>
                <w:color w:val="auto"/>
                <w:highlight w:val="none"/>
              </w:rPr>
              <w:t>人完成履行合同所需的一切工作，包括但不限于各种材料、货物、人工、生产、包装、运输、装卸、保险、税费、使用方送检和售后服务等一切费用，不得以任何理由予以重复计价。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 w:hRule="atLeast"/>
        </w:trPr>
        <w:tc>
          <w:tcPr>
            <w:tcW w:w="709" w:type="dxa"/>
            <w:tcBorders>
              <w:top w:val="thinThickSmallGap" w:color="auto" w:sz="18" w:space="0"/>
              <w:left w:val="thinThickSmallGap" w:color="auto" w:sz="18" w:space="0"/>
              <w:bottom w:val="single" w:color="auto" w:sz="4"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3</w:t>
            </w:r>
          </w:p>
        </w:tc>
        <w:tc>
          <w:tcPr>
            <w:tcW w:w="1843" w:type="dxa"/>
            <w:tcBorders>
              <w:top w:val="thinThickSmallGap" w:color="auto" w:sz="18" w:space="0"/>
              <w:bottom w:val="single" w:color="auto" w:sz="4"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对比选文件进行澄清或修改的截止时间</w:t>
            </w:r>
          </w:p>
        </w:tc>
        <w:tc>
          <w:tcPr>
            <w:tcW w:w="6520" w:type="dxa"/>
            <w:tcBorders>
              <w:top w:val="thinThickSmallGap" w:color="auto" w:sz="18" w:space="0"/>
              <w:bottom w:val="single" w:color="auto" w:sz="4" w:space="0"/>
              <w:right w:val="thickThinSmallGap" w:color="auto" w:sz="18" w:space="0"/>
            </w:tcBorders>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递交申请文件截止时间</w:t>
            </w:r>
            <w:r>
              <w:rPr>
                <w:rFonts w:hint="eastAsia" w:ascii="Times New Roman" w:hAnsi="Times New Roman" w:eastAsia="宋体" w:cs="Times New Roman"/>
                <w:color w:val="auto"/>
                <w:kern w:val="0"/>
                <w:szCs w:val="21"/>
                <w:highlight w:val="none"/>
                <w:u w:val="single"/>
              </w:rPr>
              <w:t>3</w:t>
            </w:r>
            <w:r>
              <w:rPr>
                <w:rFonts w:hint="eastAsia" w:ascii="Times New Roman" w:hAnsi="Times New Roman" w:eastAsia="宋体" w:cs="Times New Roman"/>
                <w:color w:val="auto"/>
                <w:kern w:val="0"/>
                <w:szCs w:val="21"/>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09" w:type="dxa"/>
            <w:tcBorders>
              <w:top w:val="single" w:color="auto" w:sz="4" w:space="0"/>
              <w:left w:val="thinThickSmallGap" w:color="auto" w:sz="18" w:space="0"/>
              <w:bottom w:val="single" w:color="auto" w:sz="4"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4</w:t>
            </w:r>
          </w:p>
        </w:tc>
        <w:tc>
          <w:tcPr>
            <w:tcW w:w="1843" w:type="dxa"/>
            <w:tcBorders>
              <w:top w:val="single" w:color="auto" w:sz="4" w:space="0"/>
              <w:bottom w:val="single" w:color="auto" w:sz="4"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比选小组的组建</w:t>
            </w:r>
          </w:p>
        </w:tc>
        <w:tc>
          <w:tcPr>
            <w:tcW w:w="6520" w:type="dxa"/>
            <w:tcBorders>
              <w:top w:val="single" w:color="auto" w:sz="4" w:space="0"/>
              <w:bottom w:val="single" w:color="auto" w:sz="4" w:space="0"/>
              <w:right w:val="thickThin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比选小组由比选人依法组建，比选由比选小组负责。比选小组由比选人代表共</w:t>
            </w:r>
            <w:r>
              <w:rPr>
                <w:rFonts w:hint="eastAsia" w:ascii="Times New Roman" w:hAnsi="Times New Roman" w:eastAsia="宋体" w:cs="Times New Roman"/>
                <w:color w:val="auto"/>
                <w:kern w:val="0"/>
                <w:szCs w:val="21"/>
                <w:highlight w:val="none"/>
                <w:u w:val="single"/>
              </w:rPr>
              <w:t xml:space="preserve"> 3 </w:t>
            </w:r>
            <w:r>
              <w:rPr>
                <w:rFonts w:hint="eastAsia" w:ascii="Times New Roman" w:hAnsi="Times New Roman" w:eastAsia="宋体" w:cs="Times New Roman"/>
                <w:color w:val="auto"/>
                <w:kern w:val="0"/>
                <w:szCs w:val="21"/>
                <w:highlight w:val="none"/>
              </w:rPr>
              <w:t>人以上单数组成。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09" w:type="dxa"/>
            <w:tcBorders>
              <w:top w:val="single" w:color="auto" w:sz="4" w:space="0"/>
              <w:left w:val="thinThickSmallGap" w:color="auto" w:sz="18" w:space="0"/>
              <w:bottom w:val="single" w:color="auto" w:sz="4"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15</w:t>
            </w:r>
          </w:p>
        </w:tc>
        <w:tc>
          <w:tcPr>
            <w:tcW w:w="1843" w:type="dxa"/>
            <w:tcBorders>
              <w:top w:val="single" w:color="auto" w:sz="4" w:space="0"/>
              <w:bottom w:val="single" w:color="auto" w:sz="4"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申请文件有效期</w:t>
            </w:r>
          </w:p>
        </w:tc>
        <w:tc>
          <w:tcPr>
            <w:tcW w:w="6520" w:type="dxa"/>
            <w:tcBorders>
              <w:top w:val="single" w:color="auto" w:sz="4" w:space="0"/>
              <w:bottom w:val="single" w:color="auto" w:sz="4" w:space="0"/>
              <w:right w:val="thickThinSmallGap" w:color="auto" w:sz="18" w:space="0"/>
            </w:tcBorders>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从递交比选申请文件的截止日期后起</w:t>
            </w:r>
            <w:r>
              <w:rPr>
                <w:rFonts w:hint="eastAsia" w:ascii="Times New Roman" w:hAnsi="Times New Roman" w:eastAsia="宋体" w:cs="Times New Roman"/>
                <w:color w:val="auto"/>
                <w:kern w:val="0"/>
                <w:szCs w:val="21"/>
                <w:highlight w:val="none"/>
                <w:u w:val="single"/>
              </w:rPr>
              <w:t>90</w:t>
            </w:r>
            <w:r>
              <w:rPr>
                <w:rFonts w:hint="eastAsia" w:ascii="Times New Roman" w:hAnsi="Times New Roman" w:eastAsia="宋体" w:cs="Times New Roman"/>
                <w:color w:val="auto"/>
                <w:kern w:val="0"/>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16</w:t>
            </w:r>
          </w:p>
        </w:tc>
        <w:tc>
          <w:tcPr>
            <w:tcW w:w="1843" w:type="dxa"/>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比选保证金</w:t>
            </w:r>
          </w:p>
        </w:tc>
        <w:tc>
          <w:tcPr>
            <w:tcW w:w="6520" w:type="dxa"/>
            <w:tcBorders>
              <w:right w:val="thickThinSmallGap" w:color="auto" w:sz="18" w:space="0"/>
            </w:tcBorders>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现金，申请人在</w:t>
            </w:r>
            <w:r>
              <w:rPr>
                <w:rFonts w:hint="default" w:ascii="Times New Roman" w:hAnsi="Times New Roman" w:eastAsia="宋体" w:cs="Times New Roman"/>
                <w:color w:val="auto"/>
                <w:kern w:val="0"/>
                <w:szCs w:val="21"/>
                <w:highlight w:val="none"/>
              </w:rPr>
              <w:t>参选时需准备10000.00元（大写：人民币壹万元整）作为参选保证金，请自备信封，当场清点密封后递交。未中选申请人的保证金在评标结束后</w:t>
            </w:r>
            <w:r>
              <w:rPr>
                <w:rFonts w:hint="eastAsia" w:ascii="Times New Roman" w:hAnsi="Times New Roman" w:eastAsia="宋体" w:cs="Times New Roman"/>
                <w:color w:val="auto"/>
                <w:kern w:val="0"/>
                <w:szCs w:val="21"/>
                <w:highlight w:val="none"/>
              </w:rPr>
              <w:t>当场退还，中选人的参选保证金在合同签订后无息退还。未提交保证金不得参加本项目。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09" w:type="dxa"/>
            <w:tcBorders>
              <w:left w:val="thinThickSmallGap" w:color="auto" w:sz="18" w:space="0"/>
              <w:bottom w:val="single" w:color="auto" w:sz="4"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7</w:t>
            </w:r>
          </w:p>
        </w:tc>
        <w:tc>
          <w:tcPr>
            <w:tcW w:w="1843" w:type="dxa"/>
            <w:tcBorders>
              <w:bottom w:val="single" w:color="auto" w:sz="4" w:space="0"/>
            </w:tcBorders>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申请文件份数</w:t>
            </w:r>
          </w:p>
        </w:tc>
        <w:tc>
          <w:tcPr>
            <w:tcW w:w="6520" w:type="dxa"/>
            <w:tcBorders>
              <w:bottom w:val="single" w:color="auto" w:sz="4" w:space="0"/>
              <w:right w:val="thickThinSmallGap" w:color="auto" w:sz="18" w:space="0"/>
            </w:tcBorders>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纸质申请文件一份正本、一份副本。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09" w:type="dxa"/>
            <w:tcBorders>
              <w:top w:val="single" w:color="auto" w:sz="4" w:space="0"/>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8</w:t>
            </w:r>
          </w:p>
        </w:tc>
        <w:tc>
          <w:tcPr>
            <w:tcW w:w="1843" w:type="dxa"/>
            <w:tcBorders>
              <w:top w:val="single" w:color="auto" w:sz="4" w:space="0"/>
            </w:tcBorders>
            <w:noWrap/>
            <w:vAlign w:val="center"/>
          </w:tcPr>
          <w:p>
            <w:pPr>
              <w:spacing w:line="300" w:lineRule="exac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比选申请</w:t>
            </w:r>
            <w:r>
              <w:rPr>
                <w:rFonts w:ascii="Times New Roman" w:hAnsi="Times New Roman" w:eastAsia="宋体" w:cs="Times New Roman"/>
                <w:color w:val="auto"/>
                <w:kern w:val="0"/>
                <w:szCs w:val="21"/>
                <w:highlight w:val="none"/>
              </w:rPr>
              <w:t>文件递交及截止时间</w:t>
            </w:r>
          </w:p>
        </w:tc>
        <w:tc>
          <w:tcPr>
            <w:tcW w:w="6520" w:type="dxa"/>
            <w:tcBorders>
              <w:top w:val="single" w:color="auto" w:sz="4" w:space="0"/>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递交时间：2023年</w:t>
            </w:r>
            <w:r>
              <w:rPr>
                <w:rFonts w:hint="default" w:ascii="Times New Roman" w:hAnsi="Times New Roman" w:eastAsia="宋体" w:cs="Times New Roman"/>
                <w:color w:val="auto"/>
                <w:kern w:val="0"/>
                <w:szCs w:val="21"/>
                <w:highlight w:val="none"/>
                <w:lang w:val="en-US" w:eastAsia="zh-CN"/>
              </w:rPr>
              <w:t>2</w:t>
            </w:r>
            <w:r>
              <w:rPr>
                <w:rFonts w:hint="default" w:ascii="Times New Roman" w:hAnsi="Times New Roman" w:eastAsia="宋体" w:cs="Times New Roman"/>
                <w:color w:val="auto"/>
                <w:kern w:val="0"/>
                <w:szCs w:val="21"/>
                <w:highlight w:val="none"/>
              </w:rPr>
              <w:t>月</w:t>
            </w:r>
            <w:r>
              <w:rPr>
                <w:rFonts w:hint="default"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日09点 00 分至09点30 分（北京时间）</w:t>
            </w:r>
          </w:p>
          <w:p>
            <w:pPr>
              <w:spacing w:line="300" w:lineRule="exact"/>
              <w:jc w:val="left"/>
              <w:rPr>
                <w:color w:val="auto"/>
                <w:highlight w:val="none"/>
              </w:rPr>
            </w:pPr>
            <w:r>
              <w:rPr>
                <w:rFonts w:hint="default" w:ascii="Times New Roman" w:hAnsi="Times New Roman" w:eastAsia="宋体" w:cs="Times New Roman"/>
                <w:color w:val="auto"/>
                <w:kern w:val="0"/>
                <w:szCs w:val="21"/>
                <w:highlight w:val="none"/>
              </w:rPr>
              <w:t>截止时间：</w:t>
            </w:r>
            <w:r>
              <w:rPr>
                <w:rFonts w:hint="eastAsia" w:ascii="Times New Roman" w:hAnsi="Times New Roman" w:eastAsia="宋体" w:cs="Times New Roman"/>
                <w:color w:val="auto"/>
                <w:kern w:val="0"/>
                <w:szCs w:val="21"/>
                <w:highlight w:val="none"/>
              </w:rPr>
              <w:t>2023年</w:t>
            </w:r>
            <w:r>
              <w:rPr>
                <w:rFonts w:hint="eastAsia" w:ascii="Times New Roman" w:hAnsi="Times New Roman" w:eastAsia="宋体" w:cs="Times New Roman"/>
                <w:color w:val="auto"/>
                <w:kern w:val="0"/>
                <w:szCs w:val="21"/>
                <w:highlight w:val="none"/>
                <w:lang w:val="en-US" w:eastAsia="zh-CN"/>
              </w:rPr>
              <w:t>2</w:t>
            </w:r>
            <w:r>
              <w:rPr>
                <w:rFonts w:hint="eastAsia" w:ascii="Times New Roman" w:hAnsi="Times New Roman" w:eastAsia="宋体" w:cs="Times New Roman"/>
                <w:color w:val="auto"/>
                <w:kern w:val="0"/>
                <w:szCs w:val="21"/>
                <w:highlight w:val="none"/>
              </w:rPr>
              <w:t>月</w:t>
            </w:r>
            <w:r>
              <w:rPr>
                <w:rFonts w:hint="eastAsia" w:ascii="Times New Roman" w:hAnsi="Times New Roman" w:eastAsia="宋体" w:cs="Times New Roman"/>
                <w:color w:val="auto"/>
                <w:kern w:val="0"/>
                <w:szCs w:val="21"/>
                <w:highlight w:val="none"/>
                <w:lang w:val="en-US" w:eastAsia="zh-CN"/>
              </w:rPr>
              <w:t>3</w:t>
            </w:r>
            <w:r>
              <w:rPr>
                <w:rFonts w:hint="eastAsia" w:ascii="Times New Roman" w:hAnsi="Times New Roman" w:eastAsia="宋体" w:cs="Times New Roman"/>
                <w:color w:val="auto"/>
                <w:kern w:val="0"/>
                <w:szCs w:val="21"/>
                <w:highlight w:val="none"/>
              </w:rPr>
              <w:t>日09</w:t>
            </w:r>
            <w:r>
              <w:rPr>
                <w:rFonts w:hint="default" w:ascii="Times New Roman" w:hAnsi="Times New Roman" w:eastAsia="宋体" w:cs="Times New Roman"/>
                <w:color w:val="auto"/>
                <w:kern w:val="0"/>
                <w:szCs w:val="21"/>
                <w:highlight w:val="none"/>
              </w:rPr>
              <w:t>点30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trPr>
        <w:tc>
          <w:tcPr>
            <w:tcW w:w="709" w:type="dxa"/>
            <w:tcBorders>
              <w:top w:val="dotted" w:color="auto" w:sz="4" w:space="0"/>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19</w:t>
            </w:r>
          </w:p>
        </w:tc>
        <w:tc>
          <w:tcPr>
            <w:tcW w:w="1843" w:type="dxa"/>
            <w:tcBorders>
              <w:top w:val="dotted" w:color="auto" w:sz="4" w:space="0"/>
            </w:tcBorders>
            <w:noWrap/>
            <w:vAlign w:val="center"/>
          </w:tcPr>
          <w:p>
            <w:pPr>
              <w:spacing w:line="30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递交比选申请</w:t>
            </w:r>
            <w:r>
              <w:rPr>
                <w:rFonts w:ascii="Times New Roman" w:hAnsi="Times New Roman" w:eastAsia="宋体" w:cs="Times New Roman"/>
                <w:color w:val="auto"/>
                <w:szCs w:val="21"/>
                <w:highlight w:val="none"/>
              </w:rPr>
              <w:t>文件</w:t>
            </w:r>
            <w:r>
              <w:rPr>
                <w:rFonts w:hint="eastAsia"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rPr>
              <w:t>地点</w:t>
            </w:r>
          </w:p>
        </w:tc>
        <w:tc>
          <w:tcPr>
            <w:tcW w:w="6520" w:type="dxa"/>
            <w:tcBorders>
              <w:top w:val="dotted" w:color="auto" w:sz="4" w:space="0"/>
              <w:right w:val="thickThinSmallGap" w:color="auto" w:sz="18" w:space="0"/>
            </w:tcBorders>
            <w:noWrap/>
            <w:vAlign w:val="center"/>
          </w:tcPr>
          <w:p>
            <w:pPr>
              <w:spacing w:line="46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楚雄医药高等专科学校远志楼</w:t>
            </w:r>
            <w:r>
              <w:rPr>
                <w:rFonts w:hint="default" w:ascii="Times New Roman" w:hAnsi="Times New Roman" w:eastAsia="宋体" w:cs="Times New Roman"/>
                <w:color w:val="auto"/>
                <w:szCs w:val="21"/>
                <w:highlight w:val="none"/>
              </w:rPr>
              <w:t>811</w:t>
            </w:r>
            <w:r>
              <w:rPr>
                <w:rFonts w:hint="eastAsia" w:ascii="Times New Roman" w:hAnsi="Times New Roman" w:eastAsia="宋体" w:cs="Times New Roman"/>
                <w:color w:val="auto"/>
                <w:szCs w:val="21"/>
                <w:highlight w:val="none"/>
              </w:rPr>
              <w:t>保卫处会议室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trPr>
        <w:tc>
          <w:tcPr>
            <w:tcW w:w="709" w:type="dxa"/>
            <w:tcBorders>
              <w:top w:val="dotted" w:color="auto" w:sz="4" w:space="0"/>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20</w:t>
            </w:r>
          </w:p>
        </w:tc>
        <w:tc>
          <w:tcPr>
            <w:tcW w:w="1843" w:type="dxa"/>
            <w:tcBorders>
              <w:top w:val="dotted" w:color="auto" w:sz="4" w:space="0"/>
            </w:tcBorders>
            <w:noWrap/>
            <w:vAlign w:val="center"/>
          </w:tcPr>
          <w:p>
            <w:pPr>
              <w:spacing w:line="400" w:lineRule="exact"/>
              <w:rPr>
                <w:rFonts w:ascii="Times New Roman" w:hAnsi="Times New Roman" w:cs="Times New Roman"/>
                <w:color w:val="auto"/>
                <w:highlight w:val="none"/>
              </w:rPr>
            </w:pPr>
            <w:r>
              <w:rPr>
                <w:rFonts w:hint="eastAsia" w:ascii="Times New Roman" w:hAnsi="Times New Roman" w:cs="Times New Roman"/>
                <w:color w:val="auto"/>
                <w:highlight w:val="none"/>
              </w:rPr>
              <w:t>比选时间和地点</w:t>
            </w:r>
          </w:p>
        </w:tc>
        <w:tc>
          <w:tcPr>
            <w:tcW w:w="6520" w:type="dxa"/>
            <w:tcBorders>
              <w:top w:val="dotted" w:color="auto" w:sz="4" w:space="0"/>
              <w:right w:val="thickThinSmallGap" w:color="auto" w:sz="18" w:space="0"/>
            </w:tcBorders>
            <w:noWrap/>
            <w:vAlign w:val="center"/>
          </w:tcPr>
          <w:p>
            <w:pPr>
              <w:spacing w:line="400" w:lineRule="exact"/>
              <w:rPr>
                <w:rFonts w:ascii="Times New Roman" w:hAnsi="Times New Roman" w:cs="Times New Roman"/>
                <w:color w:val="auto"/>
                <w:highlight w:val="none"/>
              </w:rPr>
            </w:pPr>
            <w:r>
              <w:rPr>
                <w:rFonts w:hint="eastAsia" w:ascii="Times New Roman" w:hAnsi="Times New Roman" w:eastAsia="宋体" w:cs="Times New Roman"/>
                <w:color w:val="auto"/>
                <w:kern w:val="0"/>
                <w:szCs w:val="21"/>
                <w:highlight w:val="none"/>
              </w:rPr>
              <w:t>2023年</w:t>
            </w:r>
            <w:r>
              <w:rPr>
                <w:rFonts w:hint="eastAsia" w:ascii="Times New Roman" w:hAnsi="Times New Roman" w:eastAsia="宋体" w:cs="Times New Roman"/>
                <w:color w:val="auto"/>
                <w:kern w:val="0"/>
                <w:szCs w:val="21"/>
                <w:highlight w:val="none"/>
                <w:lang w:val="en-US" w:eastAsia="zh-CN"/>
              </w:rPr>
              <w:t>2</w:t>
            </w:r>
            <w:r>
              <w:rPr>
                <w:rFonts w:hint="eastAsia" w:ascii="Times New Roman" w:hAnsi="Times New Roman" w:eastAsia="宋体" w:cs="Times New Roman"/>
                <w:color w:val="auto"/>
                <w:kern w:val="0"/>
                <w:szCs w:val="21"/>
                <w:highlight w:val="none"/>
              </w:rPr>
              <w:t>月</w:t>
            </w:r>
            <w:r>
              <w:rPr>
                <w:rFonts w:hint="eastAsia" w:ascii="Times New Roman" w:hAnsi="Times New Roman" w:eastAsia="宋体" w:cs="Times New Roman"/>
                <w:color w:val="auto"/>
                <w:kern w:val="0"/>
                <w:szCs w:val="21"/>
                <w:highlight w:val="none"/>
                <w:lang w:val="en-US" w:eastAsia="zh-CN"/>
              </w:rPr>
              <w:t>3</w:t>
            </w:r>
            <w:r>
              <w:rPr>
                <w:rFonts w:hint="eastAsia" w:ascii="Times New Roman" w:hAnsi="Times New Roman" w:eastAsia="宋体" w:cs="Times New Roman"/>
                <w:color w:val="auto"/>
                <w:kern w:val="0"/>
                <w:szCs w:val="21"/>
                <w:highlight w:val="none"/>
              </w:rPr>
              <w:t>日09</w:t>
            </w:r>
            <w:r>
              <w:rPr>
                <w:rFonts w:hint="default" w:ascii="Times New Roman" w:hAnsi="Times New Roman" w:eastAsia="宋体" w:cs="Times New Roman"/>
                <w:color w:val="auto"/>
                <w:kern w:val="0"/>
                <w:szCs w:val="21"/>
                <w:highlight w:val="none"/>
              </w:rPr>
              <w:t>点30 分（北京时间）</w:t>
            </w:r>
          </w:p>
          <w:p>
            <w:pPr>
              <w:spacing w:line="400" w:lineRule="exact"/>
              <w:rPr>
                <w:rFonts w:ascii="Times New Roman" w:hAnsi="Times New Roman" w:cs="Times New Roman"/>
                <w:color w:val="auto"/>
                <w:highlight w:val="none"/>
              </w:rPr>
            </w:pPr>
            <w:r>
              <w:rPr>
                <w:rFonts w:hint="eastAsia" w:ascii="Times New Roman" w:hAnsi="Times New Roman" w:eastAsia="宋体" w:cs="Times New Roman"/>
                <w:color w:val="auto"/>
                <w:szCs w:val="21"/>
                <w:highlight w:val="none"/>
              </w:rPr>
              <w:t>楚雄医药高等专科学校远志楼</w:t>
            </w:r>
            <w:r>
              <w:rPr>
                <w:rFonts w:hint="default" w:ascii="Times New Roman" w:hAnsi="Times New Roman" w:eastAsia="宋体" w:cs="Times New Roman"/>
                <w:color w:val="auto"/>
                <w:szCs w:val="21"/>
                <w:highlight w:val="none"/>
              </w:rPr>
              <w:t>811</w:t>
            </w:r>
            <w:r>
              <w:rPr>
                <w:rFonts w:hint="eastAsia" w:ascii="Times New Roman" w:hAnsi="Times New Roman" w:eastAsia="宋体" w:cs="Times New Roman"/>
                <w:color w:val="auto"/>
                <w:szCs w:val="21"/>
                <w:highlight w:val="none"/>
              </w:rPr>
              <w:t>保卫处会议室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21</w:t>
            </w:r>
          </w:p>
        </w:tc>
        <w:tc>
          <w:tcPr>
            <w:tcW w:w="1843" w:type="dxa"/>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是否退还申请文件</w:t>
            </w:r>
          </w:p>
        </w:tc>
        <w:tc>
          <w:tcPr>
            <w:tcW w:w="6520" w:type="dxa"/>
            <w:tcBorders>
              <w:right w:val="thickThinSmallGap" w:color="auto" w:sz="18" w:space="0"/>
            </w:tcBorders>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22</w:t>
            </w:r>
          </w:p>
        </w:tc>
        <w:tc>
          <w:tcPr>
            <w:tcW w:w="1843" w:type="dxa"/>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比选程序和方法</w:t>
            </w:r>
          </w:p>
        </w:tc>
        <w:tc>
          <w:tcPr>
            <w:tcW w:w="6520" w:type="dxa"/>
            <w:tcBorders>
              <w:right w:val="thickThinSmallGap" w:color="auto" w:sz="18" w:space="0"/>
            </w:tcBorders>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23</w:t>
            </w:r>
          </w:p>
        </w:tc>
        <w:tc>
          <w:tcPr>
            <w:tcW w:w="1843" w:type="dxa"/>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比选小组确定中标人</w:t>
            </w:r>
          </w:p>
        </w:tc>
        <w:tc>
          <w:tcPr>
            <w:tcW w:w="6520" w:type="dxa"/>
            <w:tcBorders>
              <w:right w:val="thickThinSmallGap" w:color="auto" w:sz="18" w:space="0"/>
            </w:tcBorders>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由比选小组推荐的中选候选人数：3家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24</w:t>
            </w:r>
          </w:p>
        </w:tc>
        <w:tc>
          <w:tcPr>
            <w:tcW w:w="1843" w:type="dxa"/>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履约保证金</w:t>
            </w:r>
          </w:p>
        </w:tc>
        <w:tc>
          <w:tcPr>
            <w:tcW w:w="6520" w:type="dxa"/>
            <w:tcBorders>
              <w:right w:val="thickThinSmallGap" w:color="auto" w:sz="18" w:space="0"/>
            </w:tcBorders>
            <w:noWrap/>
            <w:vAlign w:val="center"/>
          </w:tcPr>
          <w:p>
            <w:pPr>
              <w:spacing w:line="300" w:lineRule="exact"/>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合同签订之前，中选人以银行转账方式向采购</w:t>
            </w:r>
            <w:r>
              <w:rPr>
                <w:rFonts w:hint="eastAsia" w:ascii="Times New Roman" w:hAnsi="Times New Roman" w:eastAsia="宋体" w:cs="Times New Roman"/>
                <w:color w:val="auto"/>
                <w:kern w:val="0"/>
                <w:szCs w:val="21"/>
                <w:highlight w:val="none"/>
                <w:lang w:val="en-US" w:eastAsia="zh-CN"/>
              </w:rPr>
              <w:t>人</w:t>
            </w:r>
            <w:r>
              <w:rPr>
                <w:rFonts w:ascii="Times New Roman" w:hAnsi="Times New Roman" w:eastAsia="宋体" w:cs="Times New Roman"/>
                <w:color w:val="auto"/>
                <w:kern w:val="0"/>
                <w:szCs w:val="21"/>
                <w:highlight w:val="none"/>
              </w:rPr>
              <w:t>交纳</w:t>
            </w:r>
            <w:r>
              <w:rPr>
                <w:rFonts w:hint="eastAsia" w:ascii="Times New Roman" w:hAnsi="Times New Roman" w:eastAsia="宋体" w:cs="Times New Roman"/>
                <w:color w:val="auto"/>
                <w:kern w:val="0"/>
                <w:szCs w:val="21"/>
                <w:highlight w:val="none"/>
              </w:rPr>
              <w:t>60</w:t>
            </w:r>
            <w:r>
              <w:rPr>
                <w:rFonts w:ascii="Times New Roman" w:hAnsi="Times New Roman" w:eastAsia="宋体" w:cs="Times New Roman"/>
                <w:color w:val="auto"/>
                <w:kern w:val="0"/>
                <w:szCs w:val="21"/>
                <w:highlight w:val="none"/>
              </w:rPr>
              <w:t>000.00元（大写：人民币</w:t>
            </w:r>
            <w:r>
              <w:rPr>
                <w:rFonts w:hint="eastAsia" w:ascii="Times New Roman" w:hAnsi="Times New Roman" w:eastAsia="宋体" w:cs="Times New Roman"/>
                <w:color w:val="auto"/>
                <w:kern w:val="0"/>
                <w:szCs w:val="21"/>
                <w:highlight w:val="none"/>
              </w:rPr>
              <w:t>陆万元</w:t>
            </w:r>
            <w:r>
              <w:rPr>
                <w:rFonts w:ascii="Times New Roman" w:hAnsi="Times New Roman" w:eastAsia="宋体" w:cs="Times New Roman"/>
                <w:color w:val="auto"/>
                <w:kern w:val="0"/>
                <w:szCs w:val="21"/>
                <w:highlight w:val="none"/>
              </w:rPr>
              <w:t>整）履约保证金，合同期满后在1个月内采购人一次性无息退还中选人。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25</w:t>
            </w:r>
          </w:p>
        </w:tc>
        <w:tc>
          <w:tcPr>
            <w:tcW w:w="1843" w:type="dxa"/>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申请文件要求</w:t>
            </w:r>
          </w:p>
        </w:tc>
        <w:tc>
          <w:tcPr>
            <w:tcW w:w="6520" w:type="dxa"/>
            <w:tcBorders>
              <w:right w:val="thickThinSmallGap" w:color="auto" w:sz="18" w:space="0"/>
            </w:tcBorders>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1、申请文件应该加盖骑缝章。</w:t>
            </w:r>
          </w:p>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2、上述文件的所有签字盖章除文件封面及外层封套外，均指公章（鲜章）和亲笔签名。</w:t>
            </w:r>
          </w:p>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3、本申请文件中所涉及的盖章签字均为鲜章和亲笔签字。</w:t>
            </w:r>
          </w:p>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项目名称：</w:t>
            </w:r>
          </w:p>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项目编号：</w:t>
            </w:r>
          </w:p>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申请人名称（盖章）：</w:t>
            </w:r>
          </w:p>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法定代表人或授权委托人（签字）：</w:t>
            </w:r>
          </w:p>
          <w:p>
            <w:pPr>
              <w:spacing w:line="300" w:lineRule="exact"/>
              <w:jc w:val="left"/>
              <w:rPr>
                <w:rFonts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1"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26</w:t>
            </w:r>
          </w:p>
        </w:tc>
        <w:tc>
          <w:tcPr>
            <w:tcW w:w="1843" w:type="dxa"/>
            <w:noWrap/>
            <w:vAlign w:val="center"/>
          </w:tcPr>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质疑与投诉</w:t>
            </w:r>
          </w:p>
        </w:tc>
        <w:tc>
          <w:tcPr>
            <w:tcW w:w="6520" w:type="dxa"/>
            <w:tcBorders>
              <w:right w:val="thickThinSmallGap" w:color="auto" w:sz="18" w:space="0"/>
            </w:tcBorders>
            <w:noWrap/>
            <w:vAlign w:val="center"/>
          </w:tcPr>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1.申请人对比选文件、比选过程和中选结果使自己的权益受到损害的，可以在知道或者应当知道其权益受到损害之日起 7 个工作日内向比选人以书面形式提出质疑。</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2.质疑实行实名制，申请人不得虚假质疑和恶意质疑，申请人需对质疑内容的真实性承担责任。申请人有以下情形之一的，被质疑人应当向有关部门报告，审查属实的，应当依照有关法律、法规、规章规定进行处罚。</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（一）捏造事实或者提供虚假质疑材料的；</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（二）借用他人名义或者伪造他人身份进行质疑的；</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（三）具有其他虚假、恶意质疑情形的。</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任何单位和个人不得指使、教唆申请人进行虚假、恶意质疑。</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3.质疑文件应包括以下主要内容：</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（一）申请人和被质疑人的名称、法定代表人、住所、电话、邮编等；</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（二）比选项目名称、项目编号；</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（三）具体质疑事项与请求；</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（四）事实与理由，并提供事实依据及相关证明材料；</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（五）提出质疑的日期。</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质疑书应当加盖公章与签字。申请人应当由法定代表人或者主要负责人签字并加盖公章，同时一并提交营业执照和法定代表人或者主要负责人有效身份证明。无法提供证件原件的，应当提供真实有效的复印件，并签字或者盖章。</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申请人可以委托代理人办理质疑事项，代理人办理质疑事项时，</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除提交质疑书外，还应当提交申请人的授权委托书及代理人的有效身份证明，授权委托书应当载明委托代理的具体权限和事项。</w:t>
            </w:r>
          </w:p>
          <w:p>
            <w:pPr>
              <w:spacing w:line="300" w:lineRule="exact"/>
              <w:jc w:val="left"/>
              <w:rPr>
                <w:rFonts w:ascii="Times New Roman" w:hAnsi="Times New Roman" w:eastAsia="宋体" w:cs="Times New Roman"/>
                <w:color w:val="auto"/>
                <w:kern w:val="0"/>
                <w:szCs w:val="21"/>
                <w:highlight w:val="none"/>
                <w:lang w:val="zh-CN"/>
              </w:rPr>
            </w:pPr>
            <w:r>
              <w:rPr>
                <w:rFonts w:hint="eastAsia" w:ascii="Times New Roman" w:hAnsi="Times New Roman" w:eastAsia="宋体" w:cs="Times New Roman"/>
                <w:color w:val="auto"/>
                <w:kern w:val="0"/>
                <w:szCs w:val="21"/>
                <w:highlight w:val="none"/>
                <w:lang w:val="zh-CN"/>
              </w:rPr>
              <w:t>4.被质疑人应当在受理质疑后七个工作日内作出答复，并以书面形式通知申请人和其他有关申请人，答复内容仅限于申请人所质疑的内容；</w:t>
            </w:r>
          </w:p>
          <w:p>
            <w:pPr>
              <w:spacing w:line="300" w:lineRule="exact"/>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zh-CN"/>
              </w:rPr>
              <w:t>5.申请人对被质疑人的答复不满意或者被质疑人未在规定期限内作出答复的，可以在答复期满后十五个工作日内向学校纪检监察部门投诉。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bookmarkStart w:id="59" w:name="_Toc60996677"/>
            <w:bookmarkStart w:id="60" w:name="_Toc24244_WPSOffice_Level1"/>
            <w:bookmarkStart w:id="61" w:name="_Toc25948_WPSOffice_Level2"/>
            <w:bookmarkStart w:id="62" w:name="_Toc9300_WPSOffice_Level1"/>
            <w:bookmarkStart w:id="63" w:name="__x000F_一、总__则"/>
            <w:r>
              <w:rPr>
                <w:rFonts w:hint="eastAsia" w:ascii="Times New Roman" w:hAnsi="Times New Roman" w:eastAsia="宋体" w:cs="Times New Roman"/>
                <w:color w:val="auto"/>
                <w:kern w:val="0"/>
                <w:szCs w:val="21"/>
                <w:highlight w:val="none"/>
              </w:rPr>
              <w:t>27</w:t>
            </w:r>
          </w:p>
        </w:tc>
        <w:tc>
          <w:tcPr>
            <w:tcW w:w="1843" w:type="dxa"/>
            <w:noWrap/>
            <w:vAlign w:val="center"/>
          </w:tcPr>
          <w:p>
            <w:pPr>
              <w:pStyle w:val="14"/>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比选申请</w:t>
            </w:r>
            <w:r>
              <w:rPr>
                <w:rFonts w:ascii="Times New Roman" w:hAnsi="Times New Roman" w:cs="Times New Roman"/>
                <w:color w:val="auto"/>
                <w:szCs w:val="21"/>
                <w:highlight w:val="none"/>
              </w:rPr>
              <w:t>文件密封、装订要求</w:t>
            </w:r>
          </w:p>
        </w:tc>
        <w:tc>
          <w:tcPr>
            <w:tcW w:w="6520" w:type="dxa"/>
            <w:tcBorders>
              <w:right w:val="thickThinSmallGap" w:color="auto" w:sz="18" w:space="0"/>
            </w:tcBorders>
            <w:noWrap/>
            <w:vAlign w:val="center"/>
          </w:tcPr>
          <w:p>
            <w:pPr>
              <w:pStyle w:val="14"/>
              <w:spacing w:line="276"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比选申请</w:t>
            </w:r>
            <w:r>
              <w:rPr>
                <w:rFonts w:ascii="Times New Roman" w:hAnsi="Times New Roman" w:cs="Times New Roman"/>
                <w:color w:val="auto"/>
                <w:szCs w:val="21"/>
                <w:highlight w:val="none"/>
              </w:rPr>
              <w:t>文件正本与副本应分别装订成册，并编制目录；</w:t>
            </w:r>
            <w:r>
              <w:rPr>
                <w:rFonts w:hint="eastAsia" w:ascii="Times New Roman" w:hAnsi="Times New Roman" w:cs="Times New Roman"/>
                <w:color w:val="auto"/>
                <w:szCs w:val="21"/>
                <w:highlight w:val="none"/>
              </w:rPr>
              <w:t>比选申请</w:t>
            </w:r>
            <w:r>
              <w:rPr>
                <w:rFonts w:ascii="Times New Roman" w:hAnsi="Times New Roman" w:cs="Times New Roman"/>
                <w:color w:val="auto"/>
                <w:szCs w:val="21"/>
                <w:highlight w:val="none"/>
              </w:rPr>
              <w:t>文件装订应牢固，不得采用活页夹，并要求逐页标注连续页码；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left w:val="thinThickSmallGap" w:color="auto" w:sz="18" w:space="0"/>
            </w:tcBorders>
            <w:noWrap/>
            <w:vAlign w:val="center"/>
          </w:tcPr>
          <w:p>
            <w:pPr>
              <w:spacing w:line="300" w:lineRule="exact"/>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28</w:t>
            </w:r>
          </w:p>
        </w:tc>
        <w:tc>
          <w:tcPr>
            <w:tcW w:w="1843" w:type="dxa"/>
            <w:noWrap/>
            <w:vAlign w:val="center"/>
          </w:tcPr>
          <w:p>
            <w:pPr>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比选申请</w:t>
            </w:r>
            <w:r>
              <w:rPr>
                <w:rFonts w:ascii="Times New Roman" w:hAnsi="Times New Roman" w:cs="Times New Roman"/>
                <w:color w:val="auto"/>
                <w:szCs w:val="21"/>
                <w:highlight w:val="none"/>
              </w:rPr>
              <w:t>文件的密封与标记</w:t>
            </w:r>
          </w:p>
        </w:tc>
        <w:tc>
          <w:tcPr>
            <w:tcW w:w="6520" w:type="dxa"/>
            <w:tcBorders>
              <w:right w:val="thickThinSmallGap" w:color="auto" w:sz="18" w:space="0"/>
            </w:tcBorders>
            <w:noWrap/>
            <w:vAlign w:val="center"/>
          </w:tcPr>
          <w:p>
            <w:pPr>
              <w:adjustRightInd w:val="0"/>
              <w:snapToGrid w:val="0"/>
              <w:spacing w:line="276" w:lineRule="auto"/>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比选申请</w:t>
            </w:r>
            <w:r>
              <w:rPr>
                <w:rFonts w:ascii="Times New Roman" w:hAnsi="Times New Roman" w:cs="Times New Roman"/>
                <w:color w:val="auto"/>
                <w:szCs w:val="21"/>
                <w:highlight w:val="none"/>
              </w:rPr>
              <w:t>文件正、副本应统一装入一个</w:t>
            </w:r>
            <w:r>
              <w:rPr>
                <w:rFonts w:hint="eastAsia" w:ascii="Times New Roman" w:hAnsi="Times New Roman" w:cs="Times New Roman"/>
                <w:color w:val="auto"/>
                <w:szCs w:val="21"/>
                <w:highlight w:val="none"/>
              </w:rPr>
              <w:t>比选申请</w:t>
            </w:r>
            <w:r>
              <w:rPr>
                <w:rFonts w:ascii="Times New Roman" w:hAnsi="Times New Roman" w:cs="Times New Roman"/>
                <w:color w:val="auto"/>
                <w:szCs w:val="21"/>
                <w:highlight w:val="none"/>
              </w:rPr>
              <w:t>文件袋中加以密封，并在封贴处加盖公章或密封章；封面应注明项目名称、项目编号、</w:t>
            </w:r>
            <w:r>
              <w:rPr>
                <w:rFonts w:hint="eastAsia" w:ascii="Times New Roman" w:hAnsi="Times New Roman" w:cs="Times New Roman"/>
                <w:color w:val="auto"/>
                <w:szCs w:val="21"/>
                <w:highlight w:val="none"/>
              </w:rPr>
              <w:t>申请人</w:t>
            </w:r>
            <w:r>
              <w:rPr>
                <w:rFonts w:ascii="Times New Roman" w:hAnsi="Times New Roman" w:cs="Times New Roman"/>
                <w:color w:val="auto"/>
                <w:szCs w:val="21"/>
                <w:highlight w:val="none"/>
              </w:rPr>
              <w:t>名称、详细通讯地址、邮政编码。</w:t>
            </w:r>
          </w:p>
        </w:tc>
      </w:tr>
      <w:bookmarkEnd w:id="57"/>
      <w:bookmarkEnd w:id="59"/>
      <w:bookmarkEnd w:id="60"/>
      <w:bookmarkEnd w:id="61"/>
      <w:bookmarkEnd w:id="62"/>
    </w:tbl>
    <w:p>
      <w:pPr>
        <w:keepNext/>
        <w:tabs>
          <w:tab w:val="left" w:pos="360"/>
          <w:tab w:val="left" w:pos="1021"/>
        </w:tabs>
        <w:adjustRightInd w:val="0"/>
        <w:spacing w:line="240" w:lineRule="atLeast"/>
        <w:textAlignment w:val="baseline"/>
        <w:outlineLvl w:val="1"/>
        <w:rPr>
          <w:rStyle w:val="32"/>
          <w:rFonts w:ascii="Times New Roman" w:hAnsi="Times New Roman" w:eastAsia="宋体" w:cs="Times New Roman"/>
          <w:color w:val="auto"/>
          <w:highlight w:val="none"/>
        </w:rPr>
      </w:pPr>
      <w:bookmarkStart w:id="64" w:name="_Toc5627"/>
      <w:r>
        <w:rPr>
          <w:rStyle w:val="32"/>
          <w:rFonts w:hint="eastAsia" w:ascii="Times New Roman" w:hAnsi="Times New Roman" w:eastAsia="宋体" w:cs="Times New Roman"/>
          <w:color w:val="auto"/>
          <w:highlight w:val="none"/>
        </w:rPr>
        <w:t>2</w:t>
      </w:r>
      <w:bookmarkEnd w:id="63"/>
      <w:bookmarkStart w:id="65" w:name="_Toc28341"/>
      <w:r>
        <w:rPr>
          <w:rStyle w:val="32"/>
          <w:rFonts w:hint="eastAsia" w:ascii="Times New Roman" w:hAnsi="Times New Roman" w:eastAsia="宋体" w:cs="Times New Roman"/>
          <w:color w:val="auto"/>
          <w:highlight w:val="none"/>
        </w:rPr>
        <w:t>、</w:t>
      </w:r>
      <w:r>
        <w:rPr>
          <w:rFonts w:ascii="Times New Roman" w:hAnsi="Times New Roman" w:eastAsia="宋体" w:cs="Times New Roman"/>
          <w:b/>
          <w:bCs/>
          <w:color w:val="auto"/>
          <w:sz w:val="32"/>
          <w:szCs w:val="32"/>
          <w:highlight w:val="none"/>
        </w:rPr>
        <w:t>总 则</w:t>
      </w:r>
      <w:bookmarkEnd w:id="64"/>
    </w:p>
    <w:p>
      <w:pPr>
        <w:rPr>
          <w:rFonts w:ascii="Times New Roman" w:hAnsi="Times New Roman" w:eastAsia="宋体" w:cs="Times New Roman"/>
          <w:color w:val="auto"/>
          <w:highlight w:val="none"/>
        </w:rPr>
      </w:pP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1、请</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人认真阅读</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文件，严格按照</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文件要求制作</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文件，如对</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标文件内容和要求有疑问，请电话咨询或书面质疑，以避免比选无效。</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2、比选公告与比选文件不一致的条款以比选文件为准。</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3、如发现比选文件存在影响公正评审的条款、项目，请即向</w:t>
      </w:r>
      <w:r>
        <w:rPr>
          <w:rFonts w:hint="eastAsia" w:ascii="Times New Roman" w:hAnsi="Times New Roman" w:eastAsia="宋体" w:cs="Times New Roman"/>
          <w:color w:val="auto"/>
          <w:sz w:val="24"/>
          <w:highlight w:val="none"/>
        </w:rPr>
        <w:t>采购</w:t>
      </w:r>
      <w:r>
        <w:rPr>
          <w:rFonts w:ascii="Times New Roman" w:hAnsi="Times New Roman" w:eastAsia="宋体" w:cs="Times New Roman"/>
          <w:color w:val="auto"/>
          <w:sz w:val="24"/>
          <w:highlight w:val="none"/>
        </w:rPr>
        <w:t>联系人质疑、指出。</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4、有恶意串标、提供虚假材料、中选后不按要求履约等行为的</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人将被列入学校采购黑名单，三年之内不能参加学校任何</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活动，情节严重的，将向有关部门</w:t>
      </w:r>
      <w:r>
        <w:rPr>
          <w:rFonts w:hint="eastAsia" w:ascii="Times New Roman" w:hAnsi="Times New Roman" w:eastAsia="宋体" w:cs="Times New Roman"/>
          <w:color w:val="auto"/>
          <w:sz w:val="24"/>
          <w:highlight w:val="none"/>
        </w:rPr>
        <w:t>举报</w:t>
      </w:r>
      <w:r>
        <w:rPr>
          <w:rFonts w:ascii="Times New Roman" w:hAnsi="Times New Roman" w:eastAsia="宋体" w:cs="Times New Roman"/>
          <w:color w:val="auto"/>
          <w:sz w:val="24"/>
          <w:highlight w:val="none"/>
        </w:rPr>
        <w:t>。</w:t>
      </w:r>
    </w:p>
    <w:p>
      <w:pPr>
        <w:widowControl/>
        <w:spacing w:line="360" w:lineRule="auto"/>
        <w:ind w:firstLine="42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5、本次</w:t>
      </w:r>
      <w:r>
        <w:rPr>
          <w:rFonts w:hint="eastAsia" w:ascii="Times New Roman" w:hAnsi="Times New Roman" w:eastAsia="宋体" w:cs="Times New Roman"/>
          <w:color w:val="auto"/>
          <w:sz w:val="24"/>
          <w:highlight w:val="none"/>
        </w:rPr>
        <w:t>采购</w:t>
      </w:r>
      <w:r>
        <w:rPr>
          <w:rFonts w:ascii="Times New Roman" w:hAnsi="Times New Roman" w:eastAsia="宋体" w:cs="Times New Roman"/>
          <w:color w:val="auto"/>
          <w:sz w:val="24"/>
          <w:highlight w:val="none"/>
        </w:rPr>
        <w:t>活动细则由楚雄医药高等专科学校保卫处负责解释。</w:t>
      </w:r>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6、采购</w:t>
      </w:r>
      <w:r>
        <w:rPr>
          <w:rFonts w:hint="eastAsia" w:ascii="Times New Roman" w:hAnsi="Times New Roman" w:eastAsia="宋体" w:cs="Times New Roman"/>
          <w:color w:val="auto"/>
          <w:kern w:val="0"/>
          <w:sz w:val="24"/>
          <w:highlight w:val="none"/>
        </w:rPr>
        <w:t>人</w:t>
      </w:r>
      <w:r>
        <w:rPr>
          <w:rFonts w:ascii="Times New Roman" w:hAnsi="Times New Roman" w:eastAsia="宋体" w:cs="Times New Roman"/>
          <w:color w:val="auto"/>
          <w:kern w:val="0"/>
          <w:sz w:val="24"/>
          <w:highlight w:val="none"/>
        </w:rPr>
        <w:t>不向比选方解释落选原因，</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人比选时所发生的费用自理。</w:t>
      </w:r>
    </w:p>
    <w:p>
      <w:pPr>
        <w:keepNext/>
        <w:keepLines/>
        <w:spacing w:after="260" w:line="415" w:lineRule="auto"/>
        <w:outlineLvl w:val="1"/>
        <w:rPr>
          <w:rFonts w:ascii="Times New Roman" w:hAnsi="Times New Roman" w:eastAsia="宋体" w:cs="Times New Roman"/>
          <w:b/>
          <w:bCs/>
          <w:color w:val="auto"/>
          <w:sz w:val="32"/>
          <w:highlight w:val="none"/>
        </w:rPr>
      </w:pPr>
      <w:bookmarkStart w:id="66" w:name="_Toc20912"/>
      <w:bookmarkStart w:id="67" w:name="_Toc20485"/>
      <w:bookmarkStart w:id="68" w:name="_Toc32227"/>
      <w:r>
        <w:rPr>
          <w:rFonts w:hint="eastAsia" w:ascii="Times New Roman" w:hAnsi="Times New Roman" w:eastAsia="宋体" w:cs="Times New Roman"/>
          <w:b/>
          <w:bCs/>
          <w:color w:val="auto"/>
          <w:sz w:val="32"/>
          <w:szCs w:val="32"/>
          <w:highlight w:val="none"/>
        </w:rPr>
        <w:t>3、</w:t>
      </w:r>
      <w:r>
        <w:rPr>
          <w:rFonts w:ascii="Times New Roman" w:hAnsi="Times New Roman" w:eastAsia="宋体" w:cs="Times New Roman"/>
          <w:b/>
          <w:bCs/>
          <w:color w:val="auto"/>
          <w:sz w:val="32"/>
          <w:szCs w:val="32"/>
          <w:highlight w:val="none"/>
        </w:rPr>
        <w:t>比选文件</w:t>
      </w:r>
      <w:bookmarkEnd w:id="66"/>
      <w:bookmarkEnd w:id="67"/>
      <w:bookmarkEnd w:id="68"/>
    </w:p>
    <w:p>
      <w:pPr>
        <w:rPr>
          <w:rFonts w:ascii="Times New Roman" w:hAnsi="Times New Roman" w:eastAsia="宋体" w:cs="Times New Roman"/>
          <w:b/>
          <w:bCs/>
          <w:color w:val="auto"/>
          <w:sz w:val="28"/>
          <w:szCs w:val="28"/>
          <w:highlight w:val="none"/>
        </w:rPr>
      </w:pPr>
      <w:bookmarkStart w:id="69" w:name="_Toc509049347"/>
      <w:r>
        <w:rPr>
          <w:rFonts w:hint="eastAsia" w:ascii="Times New Roman" w:hAnsi="Times New Roman" w:eastAsia="宋体" w:cs="Times New Roman"/>
          <w:b/>
          <w:bCs/>
          <w:color w:val="auto"/>
          <w:sz w:val="28"/>
          <w:szCs w:val="28"/>
          <w:highlight w:val="none"/>
        </w:rPr>
        <w:t>3</w:t>
      </w:r>
      <w:r>
        <w:rPr>
          <w:rFonts w:ascii="Times New Roman" w:hAnsi="Times New Roman" w:eastAsia="宋体" w:cs="Times New Roman"/>
          <w:b/>
          <w:bCs/>
          <w:color w:val="auto"/>
          <w:sz w:val="28"/>
          <w:szCs w:val="28"/>
          <w:highlight w:val="none"/>
        </w:rPr>
        <w:t>.</w:t>
      </w:r>
      <w:r>
        <w:rPr>
          <w:rFonts w:hint="eastAsia" w:ascii="Times New Roman" w:hAnsi="Times New Roman" w:eastAsia="宋体" w:cs="Times New Roman"/>
          <w:b/>
          <w:bCs/>
          <w:color w:val="auto"/>
          <w:sz w:val="28"/>
          <w:szCs w:val="28"/>
          <w:highlight w:val="none"/>
        </w:rPr>
        <w:t>1</w:t>
      </w:r>
      <w:r>
        <w:rPr>
          <w:rFonts w:ascii="Times New Roman" w:hAnsi="Times New Roman" w:eastAsia="宋体" w:cs="Times New Roman"/>
          <w:b/>
          <w:bCs/>
          <w:color w:val="auto"/>
          <w:sz w:val="28"/>
          <w:szCs w:val="28"/>
          <w:highlight w:val="none"/>
        </w:rPr>
        <w:t xml:space="preserve"> 比选文件的组成</w:t>
      </w:r>
      <w:bookmarkEnd w:id="69"/>
    </w:p>
    <w:p>
      <w:pPr>
        <w:spacing w:line="360" w:lineRule="auto"/>
        <w:ind w:firstLine="480" w:firstLineChars="200"/>
        <w:rPr>
          <w:rFonts w:ascii="Times New Roman" w:hAnsi="Times New Roman" w:eastAsia="宋体" w:cs="Times New Roman"/>
          <w:color w:val="auto"/>
          <w:sz w:val="24"/>
          <w:highlight w:val="none"/>
        </w:rPr>
      </w:pPr>
      <w:bookmarkStart w:id="70" w:name="_Toc509049348"/>
      <w:r>
        <w:rPr>
          <w:rFonts w:hint="eastAsia" w:ascii="Times New Roman" w:hAnsi="Times New Roman" w:eastAsia="宋体" w:cs="Times New Roman"/>
          <w:color w:val="auto"/>
          <w:sz w:val="24"/>
          <w:highlight w:val="none"/>
        </w:rPr>
        <w:t>比选文件由下列内容组成：</w:t>
      </w:r>
    </w:p>
    <w:p>
      <w:pPr>
        <w:spacing w:line="360" w:lineRule="auto"/>
        <w:ind w:firstLine="480" w:firstLineChars="200"/>
        <w:rPr>
          <w:rFonts w:ascii="Times New Roman" w:hAnsi="Times New Roman" w:eastAsia="宋体" w:cs="Times New Roman"/>
          <w:color w:val="auto"/>
          <w:sz w:val="24"/>
          <w:highlight w:val="none"/>
        </w:rPr>
      </w:pPr>
      <w:bookmarkStart w:id="71" w:name="_Toc17346_WPSOffice_Level2"/>
      <w:bookmarkStart w:id="72" w:name="_Toc19285_WPSOffice_Level2"/>
      <w:bookmarkStart w:id="73" w:name="_Toc20599_WPSOffice_Level1"/>
      <w:r>
        <w:rPr>
          <w:rFonts w:hint="eastAsia" w:ascii="Times New Roman" w:hAnsi="Times New Roman" w:eastAsia="宋体" w:cs="Times New Roman"/>
          <w:color w:val="auto"/>
          <w:sz w:val="24"/>
          <w:highlight w:val="none"/>
        </w:rPr>
        <w:t>第一章 比选公告</w:t>
      </w:r>
      <w:bookmarkEnd w:id="71"/>
      <w:bookmarkEnd w:id="72"/>
      <w:bookmarkEnd w:id="73"/>
    </w:p>
    <w:p>
      <w:pPr>
        <w:spacing w:line="360" w:lineRule="auto"/>
        <w:ind w:firstLine="480" w:firstLineChars="200"/>
        <w:rPr>
          <w:rFonts w:ascii="Times New Roman" w:hAnsi="Times New Roman" w:eastAsia="宋体" w:cs="Times New Roman"/>
          <w:color w:val="auto"/>
          <w:sz w:val="24"/>
          <w:highlight w:val="none"/>
        </w:rPr>
      </w:pPr>
      <w:bookmarkStart w:id="74" w:name="_Toc16744_WPSOffice_Level2"/>
      <w:bookmarkStart w:id="75" w:name="_Toc26127_WPSOffice_Level1"/>
      <w:bookmarkStart w:id="76" w:name="_Toc23365_WPSOffice_Level2"/>
      <w:r>
        <w:rPr>
          <w:rFonts w:hint="eastAsia" w:ascii="Times New Roman" w:hAnsi="Times New Roman" w:eastAsia="宋体" w:cs="Times New Roman"/>
          <w:color w:val="auto"/>
          <w:sz w:val="24"/>
          <w:highlight w:val="none"/>
        </w:rPr>
        <w:t>第二章 申请人须知</w:t>
      </w:r>
      <w:bookmarkEnd w:id="74"/>
      <w:bookmarkEnd w:id="75"/>
      <w:bookmarkEnd w:id="76"/>
    </w:p>
    <w:p>
      <w:pPr>
        <w:spacing w:line="360" w:lineRule="auto"/>
        <w:ind w:firstLine="480" w:firstLineChars="200"/>
        <w:rPr>
          <w:rFonts w:ascii="Times New Roman" w:hAnsi="Times New Roman" w:eastAsia="宋体" w:cs="Times New Roman"/>
          <w:color w:val="auto"/>
          <w:sz w:val="24"/>
          <w:highlight w:val="none"/>
        </w:rPr>
      </w:pPr>
      <w:bookmarkStart w:id="77" w:name="_Toc25217_WPSOffice_Level1"/>
      <w:bookmarkStart w:id="78" w:name="_Toc12853_WPSOffice_Level2"/>
      <w:bookmarkStart w:id="79" w:name="_Toc27417_WPSOffice_Level2"/>
      <w:r>
        <w:rPr>
          <w:rFonts w:hint="eastAsia" w:ascii="Times New Roman" w:hAnsi="Times New Roman" w:eastAsia="宋体" w:cs="Times New Roman"/>
          <w:color w:val="auto"/>
          <w:sz w:val="24"/>
          <w:highlight w:val="none"/>
        </w:rPr>
        <w:t xml:space="preserve">第三章 </w:t>
      </w:r>
      <w:bookmarkEnd w:id="77"/>
      <w:bookmarkEnd w:id="78"/>
      <w:bookmarkEnd w:id="79"/>
      <w:r>
        <w:rPr>
          <w:rFonts w:hint="eastAsia" w:ascii="Times New Roman" w:hAnsi="Times New Roman" w:eastAsia="宋体" w:cs="Times New Roman"/>
          <w:color w:val="auto"/>
          <w:sz w:val="24"/>
          <w:highlight w:val="none"/>
        </w:rPr>
        <w:t>合同书样式及主要条款</w:t>
      </w:r>
    </w:p>
    <w:p>
      <w:pPr>
        <w:spacing w:line="360" w:lineRule="auto"/>
        <w:ind w:firstLine="480" w:firstLineChars="200"/>
        <w:rPr>
          <w:rFonts w:ascii="Times New Roman" w:hAnsi="Times New Roman" w:eastAsia="宋体" w:cs="Times New Roman"/>
          <w:color w:val="auto"/>
          <w:sz w:val="24"/>
          <w:highlight w:val="none"/>
        </w:rPr>
      </w:pPr>
      <w:bookmarkStart w:id="80" w:name="_Toc19055_WPSOffice_Level2"/>
      <w:bookmarkStart w:id="81" w:name="_Toc12208_WPSOffice_Level1"/>
      <w:bookmarkStart w:id="82" w:name="_Toc23738_WPSOffice_Level2"/>
      <w:r>
        <w:rPr>
          <w:rFonts w:hint="eastAsia" w:ascii="Times New Roman" w:hAnsi="Times New Roman" w:eastAsia="宋体" w:cs="Times New Roman"/>
          <w:color w:val="auto"/>
          <w:sz w:val="24"/>
          <w:highlight w:val="none"/>
        </w:rPr>
        <w:t xml:space="preserve">第四章 </w:t>
      </w:r>
      <w:bookmarkEnd w:id="80"/>
      <w:bookmarkEnd w:id="81"/>
      <w:bookmarkEnd w:id="82"/>
      <w:r>
        <w:rPr>
          <w:rFonts w:hint="eastAsia" w:ascii="Times New Roman" w:hAnsi="Times New Roman" w:eastAsia="宋体" w:cs="Times New Roman"/>
          <w:color w:val="auto"/>
          <w:sz w:val="24"/>
          <w:highlight w:val="none"/>
        </w:rPr>
        <w:t>比选申请文件格式</w:t>
      </w:r>
    </w:p>
    <w:p>
      <w:pPr>
        <w:spacing w:line="360" w:lineRule="auto"/>
        <w:ind w:firstLine="480" w:firstLineChars="200"/>
        <w:rPr>
          <w:rFonts w:ascii="Times New Roman" w:hAnsi="Times New Roman" w:eastAsia="宋体" w:cs="Times New Roman"/>
          <w:color w:val="auto"/>
          <w:sz w:val="24"/>
          <w:highlight w:val="none"/>
        </w:rPr>
      </w:pPr>
      <w:bookmarkStart w:id="83" w:name="_Toc22224_WPSOffice_Level2"/>
      <w:bookmarkStart w:id="84" w:name="_Toc20995_WPSOffice_Level1"/>
      <w:bookmarkStart w:id="85" w:name="_Toc30699_WPSOffice_Level2"/>
      <w:r>
        <w:rPr>
          <w:rFonts w:hint="eastAsia" w:ascii="Times New Roman" w:hAnsi="Times New Roman" w:eastAsia="宋体" w:cs="Times New Roman"/>
          <w:color w:val="auto"/>
          <w:sz w:val="24"/>
          <w:highlight w:val="none"/>
        </w:rPr>
        <w:t xml:space="preserve">第五章 </w:t>
      </w:r>
      <w:bookmarkEnd w:id="83"/>
      <w:bookmarkEnd w:id="84"/>
      <w:bookmarkEnd w:id="85"/>
      <w:r>
        <w:rPr>
          <w:rFonts w:hint="eastAsia" w:ascii="Times New Roman" w:hAnsi="Times New Roman" w:eastAsia="宋体" w:cs="Times New Roman"/>
          <w:color w:val="auto"/>
          <w:sz w:val="24"/>
          <w:highlight w:val="none"/>
        </w:rPr>
        <w:t>采购需求</w:t>
      </w:r>
    </w:p>
    <w:p>
      <w:pPr>
        <w:spacing w:line="360" w:lineRule="auto"/>
        <w:ind w:firstLine="480" w:firstLineChars="200"/>
        <w:rPr>
          <w:rFonts w:ascii="Times New Roman" w:hAnsi="Times New Roman" w:eastAsia="宋体" w:cs="Times New Roman"/>
          <w:color w:val="auto"/>
          <w:sz w:val="24"/>
          <w:highlight w:val="none"/>
        </w:rPr>
      </w:pPr>
      <w:bookmarkStart w:id="86" w:name="_Toc13234_WPSOffice_Level2"/>
      <w:bookmarkStart w:id="87" w:name="_Toc6428_WPSOffice_Level1"/>
      <w:bookmarkStart w:id="88" w:name="_Toc7113_WPSOffice_Level2"/>
      <w:r>
        <w:rPr>
          <w:rFonts w:hint="eastAsia" w:ascii="Times New Roman" w:hAnsi="Times New Roman" w:eastAsia="宋体" w:cs="Times New Roman"/>
          <w:color w:val="auto"/>
          <w:sz w:val="24"/>
          <w:highlight w:val="none"/>
        </w:rPr>
        <w:t>第六章</w:t>
      </w:r>
      <w:bookmarkEnd w:id="86"/>
      <w:bookmarkEnd w:id="87"/>
      <w:bookmarkEnd w:id="88"/>
      <w:r>
        <w:rPr>
          <w:rFonts w:hint="eastAsia" w:ascii="Times New Roman" w:hAnsi="Times New Roman" w:eastAsia="宋体" w:cs="Times New Roman"/>
          <w:color w:val="auto"/>
          <w:sz w:val="24"/>
          <w:highlight w:val="none"/>
        </w:rPr>
        <w:t xml:space="preserve"> 比选程序及方法</w:t>
      </w:r>
    </w:p>
    <w:p>
      <w:pP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3</w:t>
      </w:r>
      <w:r>
        <w:rPr>
          <w:rFonts w:ascii="Times New Roman" w:hAnsi="Times New Roman" w:eastAsia="宋体" w:cs="Times New Roman"/>
          <w:b/>
          <w:bCs/>
          <w:color w:val="auto"/>
          <w:sz w:val="28"/>
          <w:szCs w:val="28"/>
          <w:highlight w:val="none"/>
        </w:rPr>
        <w:t xml:space="preserve">.2 </w:t>
      </w:r>
      <w:r>
        <w:rPr>
          <w:rFonts w:hint="eastAsia" w:ascii="Times New Roman" w:hAnsi="Times New Roman" w:eastAsia="宋体" w:cs="Times New Roman"/>
          <w:b/>
          <w:bCs/>
          <w:color w:val="auto"/>
          <w:sz w:val="28"/>
          <w:szCs w:val="28"/>
          <w:highlight w:val="none"/>
        </w:rPr>
        <w:t>比</w:t>
      </w:r>
      <w:r>
        <w:rPr>
          <w:rFonts w:ascii="Times New Roman" w:hAnsi="Times New Roman" w:eastAsia="宋体" w:cs="Times New Roman"/>
          <w:b/>
          <w:bCs/>
          <w:color w:val="auto"/>
          <w:sz w:val="28"/>
          <w:szCs w:val="28"/>
          <w:highlight w:val="none"/>
        </w:rPr>
        <w:t>选答疑</w:t>
      </w:r>
      <w:bookmarkEnd w:id="70"/>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w:t>
      </w:r>
      <w:r>
        <w:rPr>
          <w:rFonts w:hint="eastAsia" w:ascii="Times New Roman" w:hAnsi="Times New Roman" w:eastAsia="宋体" w:cs="Times New Roman"/>
          <w:color w:val="auto"/>
          <w:kern w:val="0"/>
          <w:sz w:val="24"/>
          <w:highlight w:val="none"/>
        </w:rPr>
        <w:t>比选申请</w:t>
      </w:r>
      <w:r>
        <w:rPr>
          <w:rFonts w:ascii="Times New Roman" w:hAnsi="Times New Roman" w:eastAsia="宋体" w:cs="Times New Roman"/>
          <w:color w:val="auto"/>
          <w:kern w:val="0"/>
          <w:sz w:val="24"/>
          <w:highlight w:val="none"/>
        </w:rPr>
        <w:t>人应仔细阅读和检查</w:t>
      </w:r>
      <w:r>
        <w:rPr>
          <w:rFonts w:hint="eastAsia" w:ascii="Times New Roman" w:hAnsi="Times New Roman" w:eastAsia="宋体" w:cs="Times New Roman"/>
          <w:color w:val="auto"/>
          <w:kern w:val="0"/>
          <w:sz w:val="24"/>
          <w:highlight w:val="none"/>
        </w:rPr>
        <w:t>比选</w:t>
      </w:r>
      <w:r>
        <w:rPr>
          <w:rFonts w:ascii="Times New Roman" w:hAnsi="Times New Roman" w:eastAsia="宋体" w:cs="Times New Roman"/>
          <w:color w:val="auto"/>
          <w:kern w:val="0"/>
          <w:sz w:val="24"/>
          <w:highlight w:val="none"/>
        </w:rPr>
        <w:t>文件的全部内容。如发现缺页或附件不全，应及时向采购人提出，以便补齐。如有疑问，要求采购人对</w:t>
      </w:r>
      <w:r>
        <w:rPr>
          <w:rFonts w:hint="eastAsia" w:ascii="Times New Roman" w:hAnsi="Times New Roman" w:eastAsia="宋体" w:cs="Times New Roman"/>
          <w:color w:val="auto"/>
          <w:kern w:val="0"/>
          <w:sz w:val="24"/>
          <w:highlight w:val="none"/>
        </w:rPr>
        <w:t>比选</w:t>
      </w:r>
      <w:r>
        <w:rPr>
          <w:rFonts w:ascii="Times New Roman" w:hAnsi="Times New Roman" w:eastAsia="宋体" w:cs="Times New Roman"/>
          <w:color w:val="auto"/>
          <w:kern w:val="0"/>
          <w:sz w:val="24"/>
          <w:highlight w:val="none"/>
        </w:rPr>
        <w:t>文件予以答复。</w:t>
      </w:r>
    </w:p>
    <w:p>
      <w:pPr>
        <w:keepNext/>
        <w:keepLines/>
        <w:spacing w:after="260" w:line="415" w:lineRule="auto"/>
        <w:outlineLvl w:val="1"/>
        <w:rPr>
          <w:rFonts w:ascii="Times New Roman" w:hAnsi="Times New Roman" w:eastAsia="宋体" w:cs="Times New Roman"/>
          <w:b/>
          <w:bCs/>
          <w:color w:val="auto"/>
          <w:sz w:val="32"/>
          <w:szCs w:val="32"/>
          <w:highlight w:val="none"/>
        </w:rPr>
      </w:pPr>
      <w:bookmarkStart w:id="89" w:name="_Toc15954"/>
      <w:bookmarkStart w:id="90" w:name="_Toc16395"/>
      <w:bookmarkStart w:id="91" w:name="_Toc509049340"/>
      <w:bookmarkStart w:id="92" w:name="_Toc4983"/>
      <w:bookmarkStart w:id="93" w:name="_Toc509049339"/>
      <w:r>
        <w:rPr>
          <w:rFonts w:hint="eastAsia" w:ascii="Times New Roman" w:hAnsi="Times New Roman" w:eastAsia="宋体" w:cs="Times New Roman"/>
          <w:b/>
          <w:bCs/>
          <w:color w:val="auto"/>
          <w:sz w:val="32"/>
          <w:szCs w:val="32"/>
          <w:highlight w:val="none"/>
        </w:rPr>
        <w:t>4、申请</w:t>
      </w:r>
      <w:r>
        <w:rPr>
          <w:rFonts w:ascii="Times New Roman" w:hAnsi="Times New Roman" w:eastAsia="宋体" w:cs="Times New Roman"/>
          <w:b/>
          <w:bCs/>
          <w:color w:val="auto"/>
          <w:sz w:val="32"/>
          <w:szCs w:val="32"/>
          <w:highlight w:val="none"/>
        </w:rPr>
        <w:t>人资格要求</w:t>
      </w:r>
      <w:bookmarkEnd w:id="89"/>
      <w:bookmarkEnd w:id="90"/>
      <w:bookmarkEnd w:id="91"/>
      <w:bookmarkEnd w:id="92"/>
    </w:p>
    <w:p>
      <w:pPr>
        <w:widowControl/>
        <w:spacing w:line="420" w:lineRule="auto"/>
        <w:ind w:firstLine="42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人应具备承担本项目的基本资格条件：见</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人须知前附表。</w:t>
      </w:r>
    </w:p>
    <w:p>
      <w:pPr>
        <w:autoSpaceDE w:val="0"/>
        <w:autoSpaceDN w:val="0"/>
        <w:adjustRightInd w:val="0"/>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人应具备承担本项目的特定资格条件：见</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人须知前附表。</w:t>
      </w:r>
    </w:p>
    <w:p>
      <w:pPr>
        <w:widowControl/>
        <w:spacing w:line="420" w:lineRule="auto"/>
        <w:ind w:firstLine="42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3、</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人不得存在下列情形之一：</w:t>
      </w:r>
    </w:p>
    <w:p>
      <w:pPr>
        <w:widowControl/>
        <w:spacing w:line="420" w:lineRule="auto"/>
        <w:ind w:firstLine="42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（1）为</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人不具有独立法人资格的附属机构（单位）；</w:t>
      </w:r>
    </w:p>
    <w:p>
      <w:pPr>
        <w:widowControl/>
        <w:spacing w:line="420" w:lineRule="auto"/>
        <w:ind w:firstLine="42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（2）被责令停业的；</w:t>
      </w:r>
    </w:p>
    <w:p>
      <w:pPr>
        <w:widowControl/>
        <w:spacing w:line="420" w:lineRule="auto"/>
        <w:ind w:firstLine="42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（3）被暂停或取消比选资格的；</w:t>
      </w:r>
    </w:p>
    <w:p>
      <w:pPr>
        <w:widowControl/>
        <w:spacing w:line="420" w:lineRule="auto"/>
        <w:ind w:firstLine="42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（4）财产被接管或冻结的；</w:t>
      </w:r>
    </w:p>
    <w:p>
      <w:pPr>
        <w:widowControl/>
        <w:spacing w:line="420" w:lineRule="auto"/>
        <w:ind w:firstLine="420"/>
        <w:jc w:val="left"/>
        <w:rPr>
          <w:rFonts w:ascii="Times New Roman" w:hAnsi="Times New Roman" w:eastAsia="宋体" w:cs="Times New Roman"/>
          <w:color w:val="auto"/>
          <w:highlight w:val="none"/>
        </w:rPr>
      </w:pPr>
      <w:r>
        <w:rPr>
          <w:rFonts w:ascii="Times New Roman" w:hAnsi="Times New Roman" w:eastAsia="宋体" w:cs="Times New Roman"/>
          <w:color w:val="auto"/>
          <w:kern w:val="0"/>
          <w:sz w:val="24"/>
          <w:highlight w:val="none"/>
        </w:rPr>
        <w:t>（5）在最近三年内有骗取中标或严重违约的。</w:t>
      </w:r>
    </w:p>
    <w:bookmarkEnd w:id="93"/>
    <w:p>
      <w:pPr>
        <w:keepNext/>
        <w:keepLines/>
        <w:spacing w:after="260" w:line="415" w:lineRule="auto"/>
        <w:outlineLvl w:val="1"/>
        <w:rPr>
          <w:rFonts w:ascii="Times New Roman" w:hAnsi="Times New Roman" w:eastAsia="宋体" w:cs="Times New Roman"/>
          <w:b/>
          <w:bCs/>
          <w:color w:val="auto"/>
          <w:sz w:val="32"/>
          <w:szCs w:val="32"/>
          <w:highlight w:val="none"/>
        </w:rPr>
      </w:pPr>
      <w:bookmarkStart w:id="94" w:name="_Toc26906"/>
      <w:bookmarkStart w:id="95" w:name="_Toc4533"/>
      <w:bookmarkStart w:id="96" w:name="_Toc24262"/>
      <w:r>
        <w:rPr>
          <w:rFonts w:hint="eastAsia" w:ascii="Times New Roman" w:hAnsi="Times New Roman" w:eastAsia="宋体" w:cs="Times New Roman"/>
          <w:b/>
          <w:bCs/>
          <w:color w:val="auto"/>
          <w:sz w:val="32"/>
          <w:szCs w:val="32"/>
          <w:highlight w:val="none"/>
        </w:rPr>
        <w:t>5、</w:t>
      </w:r>
      <w:bookmarkEnd w:id="94"/>
      <w:bookmarkEnd w:id="95"/>
      <w:r>
        <w:rPr>
          <w:rFonts w:hint="eastAsia" w:ascii="Times New Roman" w:hAnsi="Times New Roman" w:eastAsia="宋体" w:cs="Times New Roman"/>
          <w:b/>
          <w:bCs/>
          <w:color w:val="auto"/>
          <w:sz w:val="32"/>
          <w:szCs w:val="32"/>
          <w:highlight w:val="none"/>
        </w:rPr>
        <w:t>比选申请文件</w:t>
      </w:r>
      <w:bookmarkEnd w:id="96"/>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比选文件是合同不可分割的一部分，参与比选即视为对比选文件要求的接受。</w:t>
      </w:r>
    </w:p>
    <w:p>
      <w:pPr>
        <w:widowControl/>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人应严格按照下列内容及顺序编写、装订</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文件格式见</w:t>
      </w:r>
      <w:r>
        <w:rPr>
          <w:rFonts w:hint="eastAsia" w:ascii="Times New Roman" w:hAnsi="Times New Roman" w:eastAsia="宋体" w:cs="Times New Roman"/>
          <w:color w:val="auto"/>
          <w:sz w:val="24"/>
          <w:highlight w:val="none"/>
        </w:rPr>
        <w:t>第四章 比选申请文件格式</w:t>
      </w:r>
      <w:r>
        <w:rPr>
          <w:rFonts w:ascii="Times New Roman" w:hAnsi="Times New Roman" w:eastAsia="宋体" w:cs="Times New Roman"/>
          <w:color w:val="auto"/>
          <w:sz w:val="24"/>
          <w:highlight w:val="none"/>
        </w:rPr>
        <w:t>。请</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人准确编制目录及页码，否则将影响对</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文件的评价。</w:t>
      </w:r>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比选申请文件</w:t>
      </w:r>
      <w:r>
        <w:rPr>
          <w:rFonts w:ascii="Times New Roman" w:hAnsi="Times New Roman" w:eastAsia="宋体" w:cs="Times New Roman"/>
          <w:color w:val="auto"/>
          <w:kern w:val="0"/>
          <w:sz w:val="24"/>
          <w:highlight w:val="none"/>
        </w:rPr>
        <w:t>由</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人带到</w:t>
      </w:r>
      <w:r>
        <w:rPr>
          <w:rFonts w:hint="eastAsia" w:ascii="Times New Roman" w:hAnsi="Times New Roman" w:eastAsia="宋体" w:cs="Times New Roman"/>
          <w:color w:val="auto"/>
          <w:kern w:val="0"/>
          <w:sz w:val="24"/>
          <w:highlight w:val="none"/>
        </w:rPr>
        <w:t>开标</w:t>
      </w:r>
      <w:r>
        <w:rPr>
          <w:rFonts w:ascii="Times New Roman" w:hAnsi="Times New Roman" w:eastAsia="宋体" w:cs="Times New Roman"/>
          <w:color w:val="auto"/>
          <w:kern w:val="0"/>
          <w:sz w:val="24"/>
          <w:highlight w:val="none"/>
        </w:rPr>
        <w:t>现场。</w:t>
      </w:r>
    </w:p>
    <w:p>
      <w:pP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5</w:t>
      </w:r>
      <w:r>
        <w:rPr>
          <w:rFonts w:ascii="Times New Roman" w:hAnsi="Times New Roman" w:eastAsia="宋体" w:cs="Times New Roman"/>
          <w:b/>
          <w:bCs/>
          <w:color w:val="auto"/>
          <w:sz w:val="28"/>
          <w:szCs w:val="28"/>
          <w:highlight w:val="none"/>
        </w:rPr>
        <w:t xml:space="preserve">.1 </w:t>
      </w:r>
      <w:r>
        <w:rPr>
          <w:rFonts w:hint="eastAsia" w:ascii="Times New Roman" w:hAnsi="Times New Roman" w:eastAsia="宋体" w:cs="Times New Roman"/>
          <w:b/>
          <w:bCs/>
          <w:color w:val="auto"/>
          <w:sz w:val="28"/>
          <w:szCs w:val="28"/>
          <w:highlight w:val="none"/>
        </w:rPr>
        <w:t>比选申请</w:t>
      </w:r>
      <w:r>
        <w:rPr>
          <w:rFonts w:ascii="Times New Roman" w:hAnsi="Times New Roman" w:eastAsia="宋体" w:cs="Times New Roman"/>
          <w:b/>
          <w:bCs/>
          <w:color w:val="auto"/>
          <w:sz w:val="28"/>
          <w:szCs w:val="28"/>
          <w:highlight w:val="none"/>
        </w:rPr>
        <w:t>文件的一般构成</w:t>
      </w:r>
    </w:p>
    <w:p>
      <w:pPr>
        <w:widowControl/>
        <w:spacing w:line="360" w:lineRule="auto"/>
        <w:ind w:firstLine="42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w:t>
      </w:r>
      <w:r>
        <w:rPr>
          <w:rFonts w:ascii="Times New Roman" w:hAnsi="Times New Roman" w:eastAsia="宋体" w:cs="Times New Roman"/>
          <w:color w:val="auto"/>
          <w:sz w:val="24"/>
          <w:highlight w:val="none"/>
        </w:rPr>
        <w:t>.1.1 报价一览表；</w:t>
      </w:r>
    </w:p>
    <w:p>
      <w:pPr>
        <w:widowControl/>
        <w:spacing w:line="360" w:lineRule="auto"/>
        <w:ind w:firstLine="42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w:t>
      </w:r>
      <w:r>
        <w:rPr>
          <w:rFonts w:ascii="Times New Roman" w:hAnsi="Times New Roman" w:eastAsia="宋体" w:cs="Times New Roman"/>
          <w:color w:val="auto"/>
          <w:sz w:val="24"/>
          <w:highlight w:val="none"/>
        </w:rPr>
        <w:t>.1.2 比选申请书；</w:t>
      </w:r>
    </w:p>
    <w:p>
      <w:pPr>
        <w:widowControl/>
        <w:spacing w:line="360" w:lineRule="auto"/>
        <w:ind w:firstLine="42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w:t>
      </w:r>
      <w:r>
        <w:rPr>
          <w:rFonts w:ascii="Times New Roman" w:hAnsi="Times New Roman" w:eastAsia="宋体" w:cs="Times New Roman"/>
          <w:color w:val="auto"/>
          <w:sz w:val="24"/>
          <w:highlight w:val="none"/>
        </w:rPr>
        <w:t>.1.3</w:t>
      </w:r>
      <w:r>
        <w:rPr>
          <w:rFonts w:hint="eastAsia" w:ascii="Times New Roman" w:hAnsi="Times New Roman" w:eastAsia="宋体" w:cs="Times New Roman"/>
          <w:color w:val="auto"/>
          <w:sz w:val="24"/>
          <w:highlight w:val="none"/>
          <w:lang w:val="en-US" w:eastAsia="zh-CN"/>
        </w:rPr>
        <w:t xml:space="preserve"> </w:t>
      </w:r>
      <w:r>
        <w:rPr>
          <w:rFonts w:ascii="Times New Roman" w:hAnsi="Times New Roman" w:eastAsia="宋体" w:cs="Times New Roman"/>
          <w:color w:val="auto"/>
          <w:sz w:val="24"/>
          <w:highlight w:val="none"/>
        </w:rPr>
        <w:t>法定代表人身份证明书，若非法定代表人参加比选需提供法定代表人授权书，并在其后附上接受委托的代表人（以下简称授权代表人）的身份证复印件；</w:t>
      </w:r>
    </w:p>
    <w:p>
      <w:pPr>
        <w:widowControl/>
        <w:spacing w:line="360" w:lineRule="auto"/>
        <w:ind w:firstLine="42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5.1.4</w:t>
      </w:r>
      <w:r>
        <w:rPr>
          <w:rFonts w:hint="eastAsia" w:ascii="Times New Roman" w:hAnsi="Times New Roman" w:eastAsia="宋体"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rPr>
        <w:t>资格证明文件；</w:t>
      </w:r>
    </w:p>
    <w:p>
      <w:pPr>
        <w:widowControl/>
        <w:spacing w:line="360" w:lineRule="auto"/>
        <w:ind w:firstLine="42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5.1.5</w:t>
      </w:r>
      <w:r>
        <w:rPr>
          <w:rFonts w:hint="eastAsia" w:ascii="Times New Roman" w:hAnsi="Times New Roman" w:eastAsia="宋体" w:cs="Times New Roman"/>
          <w:color w:val="auto"/>
          <w:sz w:val="24"/>
          <w:highlight w:val="none"/>
          <w:lang w:val="en-US" w:eastAsia="zh-CN"/>
        </w:rPr>
        <w:t xml:space="preserve"> 技术偏离表；</w:t>
      </w:r>
    </w:p>
    <w:p>
      <w:pPr>
        <w:widowControl/>
        <w:spacing w:line="360" w:lineRule="auto"/>
        <w:ind w:firstLine="42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商务条款偏离表；</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w:t>
      </w:r>
      <w:r>
        <w:rPr>
          <w:rFonts w:hint="eastAsia" w:ascii="Times New Roman" w:hAnsi="Times New Roman" w:eastAsia="宋体" w:cs="Times New Roman"/>
          <w:color w:val="auto"/>
          <w:sz w:val="24"/>
          <w:highlight w:val="none"/>
          <w:lang w:val="en-US" w:eastAsia="zh-CN"/>
        </w:rPr>
        <w:t>7</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货物简要说明；</w:t>
      </w:r>
    </w:p>
    <w:p>
      <w:pPr>
        <w:widowControl/>
        <w:spacing w:line="360" w:lineRule="auto"/>
        <w:ind w:firstLine="42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5.1.</w:t>
      </w:r>
      <w:r>
        <w:rPr>
          <w:rFonts w:hint="eastAsia" w:ascii="Times New Roman" w:hAnsi="Times New Roman" w:eastAsia="宋体" w:cs="Times New Roman"/>
          <w:color w:val="auto"/>
          <w:sz w:val="24"/>
          <w:highlight w:val="none"/>
          <w:lang w:val="en-US" w:eastAsia="zh-CN"/>
        </w:rPr>
        <w:t>8</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配送服务</w:t>
      </w:r>
      <w:r>
        <w:rPr>
          <w:rFonts w:hint="eastAsia" w:ascii="Times New Roman" w:hAnsi="Times New Roman" w:eastAsia="宋体" w:cs="Times New Roman"/>
          <w:color w:val="auto"/>
          <w:sz w:val="24"/>
          <w:highlight w:val="none"/>
        </w:rPr>
        <w:t>方案；</w:t>
      </w:r>
    </w:p>
    <w:p>
      <w:pPr>
        <w:widowControl/>
        <w:spacing w:line="360" w:lineRule="auto"/>
        <w:ind w:firstLine="42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5.1.</w:t>
      </w:r>
      <w:r>
        <w:rPr>
          <w:rFonts w:hint="eastAsia" w:ascii="Times New Roman" w:hAnsi="Times New Roman" w:eastAsia="宋体" w:cs="Times New Roman"/>
          <w:color w:val="auto"/>
          <w:sz w:val="24"/>
          <w:highlight w:val="none"/>
          <w:lang w:val="en-US" w:eastAsia="zh-CN"/>
        </w:rPr>
        <w:t>9</w:t>
      </w:r>
      <w:r>
        <w:rPr>
          <w:rFonts w:hint="eastAsia" w:ascii="Times New Roman" w:hAnsi="Times New Roman" w:eastAsia="宋体" w:cs="Times New Roman"/>
          <w:color w:val="auto"/>
          <w:sz w:val="24"/>
          <w:highlight w:val="none"/>
        </w:rPr>
        <w:t xml:space="preserve"> 比选保证书；</w:t>
      </w:r>
    </w:p>
    <w:p>
      <w:pPr>
        <w:widowControl/>
        <w:spacing w:line="360" w:lineRule="auto"/>
        <w:ind w:firstLine="42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5.1.1</w:t>
      </w:r>
      <w:r>
        <w:rPr>
          <w:rFonts w:hint="eastAsia" w:ascii="Times New Roman" w:hAnsi="Times New Roman" w:eastAsia="宋体" w:cs="Times New Roman"/>
          <w:color w:val="auto"/>
          <w:sz w:val="24"/>
          <w:highlight w:val="none"/>
          <w:lang w:val="en-US" w:eastAsia="zh-CN"/>
        </w:rPr>
        <w:t>0</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质量、安全保证方案；</w:t>
      </w:r>
    </w:p>
    <w:p>
      <w:pPr>
        <w:widowControl/>
        <w:spacing w:line="360" w:lineRule="auto"/>
        <w:ind w:firstLine="42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5.1.1</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业绩；</w:t>
      </w:r>
    </w:p>
    <w:p>
      <w:pPr>
        <w:widowControl/>
        <w:spacing w:line="360" w:lineRule="auto"/>
        <w:ind w:firstLine="42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5.1.1</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应急保障方案；</w:t>
      </w:r>
    </w:p>
    <w:p>
      <w:pPr>
        <w:widowControl/>
        <w:spacing w:line="360" w:lineRule="auto"/>
        <w:ind w:firstLine="42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5.1.1</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疫情防控方案；</w:t>
      </w:r>
    </w:p>
    <w:p>
      <w:pPr>
        <w:widowControl/>
        <w:spacing w:line="360" w:lineRule="auto"/>
        <w:ind w:firstLine="42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5.1.1</w:t>
      </w:r>
      <w:r>
        <w:rPr>
          <w:rFonts w:hint="eastAsia"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专业检测能力；</w:t>
      </w:r>
    </w:p>
    <w:p>
      <w:pPr>
        <w:widowControl/>
        <w:spacing w:line="360" w:lineRule="auto"/>
        <w:ind w:firstLine="42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5.1.1</w:t>
      </w:r>
      <w:r>
        <w:rPr>
          <w:rFonts w:hint="eastAsia"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产品来源证明；</w:t>
      </w:r>
    </w:p>
    <w:p>
      <w:pPr>
        <w:widowControl/>
        <w:spacing w:line="360" w:lineRule="auto"/>
        <w:ind w:firstLine="42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5.1.1</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供货及服务承诺；</w:t>
      </w:r>
    </w:p>
    <w:p>
      <w:pPr>
        <w:widowControl/>
        <w:spacing w:line="360" w:lineRule="auto"/>
        <w:ind w:firstLine="42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5.1.1</w:t>
      </w:r>
      <w:r>
        <w:rPr>
          <w:rFonts w:hint="eastAsia" w:ascii="Times New Roman" w:hAnsi="Times New Roman" w:eastAsia="宋体" w:cs="Times New Roman"/>
          <w:color w:val="auto"/>
          <w:sz w:val="24"/>
          <w:highlight w:val="none"/>
          <w:lang w:val="en-US" w:eastAsia="zh-CN"/>
        </w:rPr>
        <w:t>7</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比选文件要求或比选申请人认为需要提供的其它材料</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5.1.1</w:t>
      </w:r>
      <w:r>
        <w:rPr>
          <w:rFonts w:hint="eastAsia" w:ascii="Times New Roman" w:hAnsi="Times New Roman" w:eastAsia="宋体" w:cs="Times New Roman"/>
          <w:color w:val="auto"/>
          <w:sz w:val="24"/>
          <w:highlight w:val="none"/>
          <w:lang w:val="en-US" w:eastAsia="zh-CN"/>
        </w:rPr>
        <w:t>8</w:t>
      </w:r>
      <w:r>
        <w:rPr>
          <w:rFonts w:hint="eastAsia"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中小企业声明函</w:t>
      </w:r>
    </w:p>
    <w:p>
      <w:pPr>
        <w:widowControl/>
        <w:spacing w:line="360" w:lineRule="auto"/>
        <w:ind w:firstLine="420"/>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sz w:val="24"/>
          <w:highlight w:val="none"/>
        </w:rPr>
        <w:t>说明：请按照以上顺序装订成册，比选申请文件一正一副，比选申请文件的正本应打印或用不褪色的墨水填写，并由比选申请人法人代表或其授权代表人签字或盖公章。副本可以是正本的复印件。如果正本与副本不符，以正本为准。</w:t>
      </w:r>
    </w:p>
    <w:p>
      <w:pPr>
        <w:rPr>
          <w:rFonts w:ascii="Times New Roman" w:hAnsi="Times New Roman" w:eastAsia="宋体" w:cs="Times New Roman"/>
          <w:b/>
          <w:bCs/>
          <w:color w:val="auto"/>
          <w:sz w:val="28"/>
          <w:szCs w:val="28"/>
          <w:highlight w:val="none"/>
        </w:rPr>
      </w:pPr>
      <w:bookmarkStart w:id="97" w:name="_Toc509049354"/>
      <w:r>
        <w:rPr>
          <w:rFonts w:hint="eastAsia" w:ascii="Times New Roman" w:hAnsi="Times New Roman" w:eastAsia="宋体" w:cs="Times New Roman"/>
          <w:b/>
          <w:bCs/>
          <w:color w:val="auto"/>
          <w:sz w:val="28"/>
          <w:szCs w:val="28"/>
          <w:highlight w:val="none"/>
        </w:rPr>
        <w:t>5</w:t>
      </w:r>
      <w:r>
        <w:rPr>
          <w:rFonts w:ascii="Times New Roman" w:hAnsi="Times New Roman" w:eastAsia="宋体" w:cs="Times New Roman"/>
          <w:b/>
          <w:bCs/>
          <w:color w:val="auto"/>
          <w:sz w:val="28"/>
          <w:szCs w:val="28"/>
          <w:highlight w:val="none"/>
        </w:rPr>
        <w:t xml:space="preserve">.2 </w:t>
      </w:r>
      <w:r>
        <w:rPr>
          <w:rFonts w:hint="eastAsia" w:ascii="Times New Roman" w:hAnsi="Times New Roman" w:eastAsia="宋体" w:cs="Times New Roman"/>
          <w:b/>
          <w:bCs/>
          <w:color w:val="auto"/>
          <w:sz w:val="28"/>
          <w:szCs w:val="28"/>
          <w:highlight w:val="none"/>
        </w:rPr>
        <w:t>比选申请</w:t>
      </w:r>
      <w:r>
        <w:rPr>
          <w:rFonts w:ascii="Times New Roman" w:hAnsi="Times New Roman" w:eastAsia="宋体" w:cs="Times New Roman"/>
          <w:b/>
          <w:bCs/>
          <w:color w:val="auto"/>
          <w:sz w:val="28"/>
          <w:szCs w:val="28"/>
          <w:highlight w:val="none"/>
        </w:rPr>
        <w:t>文件的编制</w:t>
      </w:r>
      <w:bookmarkEnd w:id="97"/>
    </w:p>
    <w:p>
      <w:pPr>
        <w:widowControl/>
        <w:spacing w:line="360" w:lineRule="auto"/>
        <w:ind w:firstLine="42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文件应按第</w:t>
      </w:r>
      <w:r>
        <w:rPr>
          <w:rFonts w:hint="eastAsia" w:ascii="Times New Roman" w:hAnsi="Times New Roman" w:eastAsia="宋体" w:cs="Times New Roman"/>
          <w:color w:val="auto"/>
          <w:sz w:val="24"/>
          <w:highlight w:val="none"/>
        </w:rPr>
        <w:t>四</w:t>
      </w:r>
      <w:r>
        <w:rPr>
          <w:rFonts w:ascii="Times New Roman" w:hAnsi="Times New Roman" w:eastAsia="宋体" w:cs="Times New Roman"/>
          <w:color w:val="auto"/>
          <w:sz w:val="24"/>
          <w:highlight w:val="none"/>
        </w:rPr>
        <w:t>章“</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文件格式”进行编写，如有必要，可以增加附页，作为</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文件的组成部分。</w:t>
      </w:r>
    </w:p>
    <w:p>
      <w:pPr>
        <w:widowControl/>
        <w:spacing w:line="360" w:lineRule="auto"/>
        <w:ind w:firstLine="42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文件应用不褪色的材料书写或打印，并由</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人的法定代表人或其委托代理人签字或盖单位章。委托代理人签字的，</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文件应附法定代表人签署的授权委托书。</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文件应尽量避免涂改、行间插字或删除。如果出现上述情况，改动之处应加盖单位章或由</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人的法定代表人或其授权的代理人签字确认。</w:t>
      </w:r>
    </w:p>
    <w:p>
      <w:pPr>
        <w:widowControl/>
        <w:spacing w:line="360" w:lineRule="auto"/>
        <w:ind w:firstLine="42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文件正本1份，副本1份。正本和副本的封面上应清楚地标记“正本”或“副本”的字样。当副本和正本不一致时，以正本为准。</w:t>
      </w:r>
    </w:p>
    <w:p>
      <w:pP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5</w:t>
      </w:r>
      <w:r>
        <w:rPr>
          <w:rFonts w:ascii="Times New Roman" w:hAnsi="Times New Roman" w:eastAsia="宋体" w:cs="Times New Roman"/>
          <w:b/>
          <w:bCs/>
          <w:color w:val="auto"/>
          <w:sz w:val="28"/>
          <w:szCs w:val="28"/>
          <w:highlight w:val="none"/>
        </w:rPr>
        <w:t>.3</w:t>
      </w:r>
      <w:r>
        <w:rPr>
          <w:rFonts w:hint="eastAsia" w:ascii="Times New Roman" w:hAnsi="Times New Roman" w:eastAsia="宋体" w:cs="Times New Roman"/>
          <w:b/>
          <w:bCs/>
          <w:color w:val="auto"/>
          <w:sz w:val="28"/>
          <w:szCs w:val="28"/>
          <w:highlight w:val="none"/>
        </w:rPr>
        <w:t>比选申请</w:t>
      </w:r>
      <w:r>
        <w:rPr>
          <w:rFonts w:ascii="Times New Roman" w:hAnsi="Times New Roman" w:eastAsia="宋体" w:cs="Times New Roman"/>
          <w:b/>
          <w:bCs/>
          <w:color w:val="auto"/>
          <w:sz w:val="28"/>
          <w:szCs w:val="28"/>
          <w:highlight w:val="none"/>
        </w:rPr>
        <w:t>文件的签署与封装</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文件为正本1份，副本1份，须各自装订成册，并由法人或授权代表签字。每套</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文件须清楚地标明“正本”或“副本”。当正本与副本内容不一致时，以正本为准。</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文件的正本和副本必须密封完好，并在密封袋骑缝处加盖与</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人一致的有效印章；密封袋上应注明（1）</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项目名称及编号；（2）</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人的名称；（3）“开标前不得开封”字样。</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文件必须装订成册（胶封），应列出目录并逐页标注页码。</w:t>
      </w:r>
    </w:p>
    <w:p>
      <w:pPr>
        <w:autoSpaceDE w:val="0"/>
        <w:autoSpaceDN w:val="0"/>
        <w:adjustRightInd w:val="0"/>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4、一经比选，无论</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人是否中标，其</w:t>
      </w:r>
      <w:r>
        <w:rPr>
          <w:rFonts w:hint="eastAsia" w:ascii="Times New Roman" w:hAnsi="Times New Roman" w:eastAsia="宋体" w:cs="Times New Roman"/>
          <w:color w:val="auto"/>
          <w:kern w:val="0"/>
          <w:sz w:val="24"/>
          <w:highlight w:val="none"/>
        </w:rPr>
        <w:t>比选申请</w:t>
      </w:r>
      <w:r>
        <w:rPr>
          <w:rFonts w:ascii="Times New Roman" w:hAnsi="Times New Roman" w:eastAsia="宋体" w:cs="Times New Roman"/>
          <w:color w:val="auto"/>
          <w:kern w:val="0"/>
          <w:sz w:val="24"/>
          <w:highlight w:val="none"/>
        </w:rPr>
        <w:t>文件不予退还。</w:t>
      </w:r>
    </w:p>
    <w:p>
      <w:pPr>
        <w:autoSpaceDE w:val="0"/>
        <w:autoSpaceDN w:val="0"/>
        <w:adjustRightInd w:val="0"/>
        <w:ind w:firstLine="480" w:firstLineChars="200"/>
        <w:jc w:val="left"/>
        <w:rPr>
          <w:rFonts w:ascii="Times New Roman" w:hAnsi="Times New Roman" w:eastAsia="宋体" w:cs="Times New Roman"/>
          <w:b/>
          <w:bCs/>
          <w:color w:val="auto"/>
          <w:kern w:val="0"/>
          <w:sz w:val="28"/>
          <w:szCs w:val="28"/>
          <w:highlight w:val="none"/>
        </w:rPr>
      </w:pPr>
      <w:r>
        <w:rPr>
          <w:rFonts w:ascii="Times New Roman" w:hAnsi="Times New Roman" w:eastAsia="宋体" w:cs="Times New Roman"/>
          <w:color w:val="auto"/>
          <w:kern w:val="0"/>
          <w:sz w:val="24"/>
          <w:highlight w:val="none"/>
        </w:rPr>
        <w:t>5、未按规定密封的</w:t>
      </w:r>
      <w:r>
        <w:rPr>
          <w:rFonts w:hint="eastAsia" w:ascii="Times New Roman" w:hAnsi="Times New Roman" w:eastAsia="宋体" w:cs="Times New Roman"/>
          <w:color w:val="auto"/>
          <w:kern w:val="0"/>
          <w:sz w:val="24"/>
          <w:highlight w:val="none"/>
        </w:rPr>
        <w:t>比选申请</w:t>
      </w:r>
      <w:r>
        <w:rPr>
          <w:rFonts w:ascii="Times New Roman" w:hAnsi="Times New Roman" w:eastAsia="宋体" w:cs="Times New Roman"/>
          <w:color w:val="auto"/>
          <w:kern w:val="0"/>
          <w:sz w:val="24"/>
          <w:highlight w:val="none"/>
        </w:rPr>
        <w:t>文件采购人将不予签收。</w:t>
      </w:r>
    </w:p>
    <w:p>
      <w:pPr>
        <w:rPr>
          <w:rFonts w:ascii="Times New Roman" w:hAnsi="Times New Roman" w:eastAsia="宋体" w:cs="Times New Roman"/>
          <w:color w:val="auto"/>
          <w:kern w:val="0"/>
          <w:sz w:val="24"/>
          <w:highlight w:val="none"/>
        </w:rPr>
      </w:pPr>
      <w:r>
        <w:rPr>
          <w:rFonts w:hint="eastAsia" w:ascii="Times New Roman" w:hAnsi="Times New Roman" w:eastAsia="宋体" w:cs="Times New Roman"/>
          <w:b/>
          <w:bCs/>
          <w:color w:val="auto"/>
          <w:sz w:val="28"/>
          <w:szCs w:val="28"/>
          <w:highlight w:val="none"/>
        </w:rPr>
        <w:t>5</w:t>
      </w:r>
      <w:r>
        <w:rPr>
          <w:rFonts w:ascii="Times New Roman" w:hAnsi="Times New Roman" w:eastAsia="宋体" w:cs="Times New Roman"/>
          <w:b/>
          <w:bCs/>
          <w:color w:val="auto"/>
          <w:sz w:val="28"/>
          <w:szCs w:val="28"/>
          <w:highlight w:val="none"/>
        </w:rPr>
        <w:t>.4 比选报价要求</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5.4.1报价指完成第五章“采购需求”中的内容所需的各种费用及必要的保险费用和各项税金等所有费用的总和。</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5.4.2供应商须就第五章“采购需求”中的内容作完整唯一报价。</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5.4.3供应商的报价应包括但不仅限于完成安装、调试、后续服务、利润及税金等费用，该报价应符合国内行情并能保证供应商完成履行合同所需的一切工作。合同一旦签订，此合同价格在合同实施期间将不因市场价格的变化而调整。</w:t>
      </w:r>
    </w:p>
    <w:p>
      <w:pPr>
        <w:spacing w:line="460" w:lineRule="exact"/>
        <w:ind w:firstLine="482" w:firstLineChars="200"/>
        <w:rPr>
          <w:rFonts w:ascii="Times New Roman" w:hAnsi="Times New Roman" w:eastAsia="宋体" w:cs="Times New Roman"/>
          <w:color w:val="auto"/>
          <w:sz w:val="24"/>
          <w:highlight w:val="none"/>
        </w:rPr>
      </w:pPr>
      <w:r>
        <w:rPr>
          <w:rFonts w:hint="eastAsia" w:ascii="Times New Roman" w:hAnsi="Times New Roman" w:eastAsia="宋体" w:cs="Times New Roman"/>
          <w:b/>
          <w:bCs/>
          <w:color w:val="auto"/>
          <w:sz w:val="24"/>
          <w:highlight w:val="none"/>
        </w:rPr>
        <w:t>5.4.4通过资格性审查和符合性审查的供应商将进行第二轮报价，第二轮报价为最后报价，最后报价是供应商响应文件的有效组成部分。</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5.4.5供应商不得哄抬报价，也不应低于成本价(或进价) 报价。比选小组认为供应商的最低报价或者某些分项报价明显不合理或者低于成本，有可能影响服务质量和不能诚信履约的，将要求其在规定的期限内提供书面文件予以解释说明，并提交相关证明材料。否则，比选小组可以取消该供应商的成交候选资格。</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5.4.6报价货币为人民币。</w:t>
      </w:r>
    </w:p>
    <w:p>
      <w:pP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5.5 比选</w:t>
      </w:r>
    </w:p>
    <w:p>
      <w:pPr>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文件的递交：</w:t>
      </w:r>
    </w:p>
    <w:p>
      <w:pPr>
        <w:spacing w:line="360" w:lineRule="auto"/>
        <w:ind w:firstLine="240" w:firstLineChars="100"/>
        <w:rPr>
          <w:rFonts w:ascii="Times New Roman" w:hAnsi="Times New Roman" w:eastAsia="宋体" w:cs="Times New Roman"/>
          <w:color w:val="auto"/>
          <w:kern w:val="0"/>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人应在前附表规定的比选截止时间前递交</w:t>
      </w:r>
      <w:r>
        <w:rPr>
          <w:rFonts w:hint="eastAsia" w:ascii="Times New Roman" w:hAnsi="Times New Roman" w:eastAsia="宋体" w:cs="Times New Roman"/>
          <w:color w:val="auto"/>
          <w:kern w:val="0"/>
          <w:sz w:val="24"/>
          <w:highlight w:val="none"/>
        </w:rPr>
        <w:t>比选申请</w:t>
      </w:r>
      <w:r>
        <w:rPr>
          <w:rFonts w:ascii="Times New Roman" w:hAnsi="Times New Roman" w:eastAsia="宋体" w:cs="Times New Roman"/>
          <w:color w:val="auto"/>
          <w:kern w:val="0"/>
          <w:sz w:val="24"/>
          <w:highlight w:val="none"/>
        </w:rPr>
        <w:t>文件。</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（2）</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人递交</w:t>
      </w:r>
      <w:r>
        <w:rPr>
          <w:rFonts w:hint="eastAsia" w:ascii="Times New Roman" w:hAnsi="Times New Roman" w:eastAsia="宋体" w:cs="Times New Roman"/>
          <w:color w:val="auto"/>
          <w:kern w:val="0"/>
          <w:sz w:val="24"/>
          <w:highlight w:val="none"/>
        </w:rPr>
        <w:t>比选申请</w:t>
      </w:r>
      <w:r>
        <w:rPr>
          <w:rFonts w:ascii="Times New Roman" w:hAnsi="Times New Roman" w:eastAsia="宋体" w:cs="Times New Roman"/>
          <w:color w:val="auto"/>
          <w:kern w:val="0"/>
          <w:sz w:val="24"/>
          <w:highlight w:val="none"/>
        </w:rPr>
        <w:t>文件的地点：见</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人须知前附表。</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（3）除</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人须知前附表另有规定外，</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人所递交的</w:t>
      </w:r>
      <w:r>
        <w:rPr>
          <w:rFonts w:hint="eastAsia" w:ascii="Times New Roman" w:hAnsi="Times New Roman" w:eastAsia="宋体" w:cs="Times New Roman"/>
          <w:color w:val="auto"/>
          <w:kern w:val="0"/>
          <w:sz w:val="24"/>
          <w:highlight w:val="none"/>
        </w:rPr>
        <w:t>比选申请</w:t>
      </w:r>
      <w:r>
        <w:rPr>
          <w:rFonts w:ascii="Times New Roman" w:hAnsi="Times New Roman" w:eastAsia="宋体" w:cs="Times New Roman"/>
          <w:color w:val="auto"/>
          <w:kern w:val="0"/>
          <w:sz w:val="24"/>
          <w:highlight w:val="none"/>
        </w:rPr>
        <w:t>文件不予退还。</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（4）采购人收到</w:t>
      </w:r>
      <w:r>
        <w:rPr>
          <w:rFonts w:hint="eastAsia" w:ascii="Times New Roman" w:hAnsi="Times New Roman" w:eastAsia="宋体" w:cs="Times New Roman"/>
          <w:color w:val="auto"/>
          <w:kern w:val="0"/>
          <w:sz w:val="24"/>
          <w:highlight w:val="none"/>
        </w:rPr>
        <w:t>比选申请</w:t>
      </w:r>
      <w:r>
        <w:rPr>
          <w:rFonts w:ascii="Times New Roman" w:hAnsi="Times New Roman" w:eastAsia="宋体" w:cs="Times New Roman"/>
          <w:color w:val="auto"/>
          <w:kern w:val="0"/>
          <w:sz w:val="24"/>
          <w:highlight w:val="none"/>
        </w:rPr>
        <w:t>文件后，进行登记记录。</w:t>
      </w:r>
    </w:p>
    <w:p>
      <w:pPr>
        <w:widowControl/>
        <w:spacing w:line="360" w:lineRule="auto"/>
        <w:ind w:firstLine="240" w:firstLineChars="1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（5）逾期送达的或者未送达指定地点的</w:t>
      </w:r>
      <w:r>
        <w:rPr>
          <w:rFonts w:hint="eastAsia" w:ascii="Times New Roman" w:hAnsi="Times New Roman" w:eastAsia="宋体" w:cs="Times New Roman"/>
          <w:color w:val="auto"/>
          <w:kern w:val="0"/>
          <w:sz w:val="24"/>
          <w:highlight w:val="none"/>
        </w:rPr>
        <w:t>比选申请</w:t>
      </w:r>
      <w:r>
        <w:rPr>
          <w:rFonts w:ascii="Times New Roman" w:hAnsi="Times New Roman" w:eastAsia="宋体" w:cs="Times New Roman"/>
          <w:color w:val="auto"/>
          <w:kern w:val="0"/>
          <w:sz w:val="24"/>
          <w:highlight w:val="none"/>
        </w:rPr>
        <w:t>文件，采购人不予受理。</w:t>
      </w:r>
    </w:p>
    <w:p>
      <w:pP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5</w:t>
      </w:r>
      <w:r>
        <w:rPr>
          <w:rFonts w:ascii="Times New Roman" w:hAnsi="Times New Roman" w:eastAsia="宋体" w:cs="Times New Roman"/>
          <w:b/>
          <w:bCs/>
          <w:color w:val="auto"/>
          <w:sz w:val="28"/>
          <w:szCs w:val="28"/>
          <w:highlight w:val="none"/>
        </w:rPr>
        <w:t>.6 比选</w:t>
      </w:r>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1、比选的时间和地点：</w:t>
      </w:r>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采购人在前附表规定的比选截止时间（开标时间）和</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人须知前附表规定的地点比选。</w:t>
      </w:r>
    </w:p>
    <w:p>
      <w:pP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5</w:t>
      </w:r>
      <w:r>
        <w:rPr>
          <w:rFonts w:ascii="Times New Roman" w:hAnsi="Times New Roman" w:eastAsia="宋体" w:cs="Times New Roman"/>
          <w:b/>
          <w:bCs/>
          <w:color w:val="auto"/>
          <w:sz w:val="28"/>
          <w:szCs w:val="28"/>
          <w:highlight w:val="none"/>
        </w:rPr>
        <w:t>.7 评审与定标</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1、本项目采用资格后审。</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经过资格审查，应有三家（含）以上合格</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w:t>
      </w:r>
    </w:p>
    <w:p>
      <w:pPr>
        <w:autoSpaceDE w:val="0"/>
        <w:autoSpaceDN w:val="0"/>
        <w:adjustRightInd w:val="0"/>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2、评审委员会：评审由采购人组建的评审委员会负责。</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3、评审原则：评审活动遵循公平、公正、科学和择优的原则。</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4、评审工作小组根据下列评审标准进行综合评分，综合评分排名前三名</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代理拟定为中标候选人。对未中标人，将不作任何解释，标书不退回。</w:t>
      </w:r>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sz w:val="24"/>
          <w:highlight w:val="none"/>
        </w:rPr>
        <w:t>5、本次比选采用综合评分法，采用百分制打分，得分排名前三名为中选候选人。</w:t>
      </w:r>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szCs w:val="21"/>
          <w:highlight w:val="none"/>
        </w:rPr>
        <w:t>6、评审规则：</w:t>
      </w:r>
      <w:r>
        <w:rPr>
          <w:rFonts w:ascii="Times New Roman" w:hAnsi="Times New Roman" w:eastAsia="宋体" w:cs="Times New Roman"/>
          <w:color w:val="auto"/>
          <w:kern w:val="0"/>
          <w:sz w:val="24"/>
          <w:highlight w:val="none"/>
        </w:rPr>
        <w:t>评审委员会按照第</w:t>
      </w:r>
      <w:r>
        <w:rPr>
          <w:rFonts w:hint="eastAsia" w:ascii="Times New Roman" w:hAnsi="Times New Roman" w:eastAsia="宋体" w:cs="Times New Roman"/>
          <w:color w:val="auto"/>
          <w:kern w:val="0"/>
          <w:sz w:val="24"/>
          <w:highlight w:val="none"/>
        </w:rPr>
        <w:t>六</w:t>
      </w:r>
      <w:r>
        <w:rPr>
          <w:rFonts w:ascii="Times New Roman" w:hAnsi="Times New Roman" w:eastAsia="宋体" w:cs="Times New Roman"/>
          <w:color w:val="auto"/>
          <w:kern w:val="0"/>
          <w:sz w:val="24"/>
          <w:highlight w:val="none"/>
        </w:rPr>
        <w:t>章“</w:t>
      </w:r>
      <w:r>
        <w:rPr>
          <w:rFonts w:hint="eastAsia" w:ascii="Times New Roman" w:hAnsi="Times New Roman" w:eastAsia="宋体" w:cs="Times New Roman"/>
          <w:color w:val="auto"/>
          <w:kern w:val="0"/>
          <w:sz w:val="24"/>
          <w:highlight w:val="none"/>
          <w:lang w:val="en-US" w:eastAsia="zh-CN"/>
        </w:rPr>
        <w:t>比选程序及</w:t>
      </w:r>
      <w:r>
        <w:rPr>
          <w:rFonts w:ascii="Times New Roman" w:hAnsi="Times New Roman" w:eastAsia="宋体" w:cs="Times New Roman"/>
          <w:color w:val="auto"/>
          <w:kern w:val="0"/>
          <w:sz w:val="24"/>
          <w:highlight w:val="none"/>
        </w:rPr>
        <w:t>办法”规定的方法、评审因素、标准和程序对</w:t>
      </w:r>
      <w:r>
        <w:rPr>
          <w:rFonts w:hint="eastAsia" w:ascii="Times New Roman" w:hAnsi="Times New Roman" w:eastAsia="宋体" w:cs="Times New Roman"/>
          <w:color w:val="auto"/>
          <w:kern w:val="0"/>
          <w:sz w:val="24"/>
          <w:highlight w:val="none"/>
        </w:rPr>
        <w:t>比选申请</w:t>
      </w:r>
      <w:r>
        <w:rPr>
          <w:rFonts w:ascii="Times New Roman" w:hAnsi="Times New Roman" w:eastAsia="宋体" w:cs="Times New Roman"/>
          <w:color w:val="auto"/>
          <w:kern w:val="0"/>
          <w:sz w:val="24"/>
          <w:highlight w:val="none"/>
        </w:rPr>
        <w:t>文件进行评审。</w:t>
      </w:r>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szCs w:val="21"/>
          <w:highlight w:val="none"/>
        </w:rPr>
      </w:pPr>
      <w:r>
        <w:rPr>
          <w:rFonts w:ascii="Times New Roman" w:hAnsi="Times New Roman" w:eastAsia="宋体" w:cs="Times New Roman"/>
          <w:color w:val="auto"/>
          <w:kern w:val="0"/>
          <w:sz w:val="24"/>
          <w:szCs w:val="21"/>
          <w:highlight w:val="none"/>
        </w:rPr>
        <w:t>7、评审结束后，</w:t>
      </w:r>
      <w:r>
        <w:rPr>
          <w:rFonts w:hint="eastAsia" w:ascii="Times New Roman" w:hAnsi="Times New Roman" w:eastAsia="宋体" w:cs="Times New Roman"/>
          <w:color w:val="auto"/>
          <w:kern w:val="0"/>
          <w:sz w:val="24"/>
          <w:szCs w:val="21"/>
          <w:highlight w:val="none"/>
        </w:rPr>
        <w:t>申请</w:t>
      </w:r>
      <w:r>
        <w:rPr>
          <w:rFonts w:ascii="Times New Roman" w:hAnsi="Times New Roman" w:eastAsia="宋体" w:cs="Times New Roman"/>
          <w:color w:val="auto"/>
          <w:kern w:val="0"/>
          <w:sz w:val="24"/>
          <w:szCs w:val="21"/>
          <w:highlight w:val="none"/>
        </w:rPr>
        <w:t>人可至</w:t>
      </w:r>
      <w:r>
        <w:rPr>
          <w:rFonts w:ascii="Times New Roman" w:hAnsi="Times New Roman" w:eastAsia="宋体" w:cs="Times New Roman"/>
          <w:color w:val="auto"/>
          <w:kern w:val="0"/>
          <w:sz w:val="24"/>
          <w:highlight w:val="none"/>
          <w:lang w:val="zh-CN"/>
        </w:rPr>
        <w:t>楚雄医药高等专科学校</w:t>
      </w:r>
      <w:r>
        <w:rPr>
          <w:rFonts w:ascii="Times New Roman" w:hAnsi="Times New Roman" w:eastAsia="宋体" w:cs="Times New Roman"/>
          <w:color w:val="auto"/>
          <w:kern w:val="0"/>
          <w:sz w:val="24"/>
          <w:highlight w:val="none"/>
        </w:rPr>
        <w:t>保卫处</w:t>
      </w:r>
      <w:r>
        <w:rPr>
          <w:rFonts w:hint="eastAsia" w:ascii="Times New Roman" w:hAnsi="Times New Roman" w:eastAsia="宋体" w:cs="Times New Roman"/>
          <w:color w:val="auto"/>
          <w:kern w:val="0"/>
          <w:sz w:val="24"/>
          <w:highlight w:val="none"/>
          <w:lang w:val="en-US" w:eastAsia="zh-CN"/>
        </w:rPr>
        <w:t>招标</w:t>
      </w:r>
      <w:r>
        <w:rPr>
          <w:rFonts w:ascii="Times New Roman" w:hAnsi="Times New Roman" w:eastAsia="宋体" w:cs="Times New Roman"/>
          <w:color w:val="auto"/>
          <w:kern w:val="0"/>
          <w:sz w:val="24"/>
          <w:highlight w:val="none"/>
        </w:rPr>
        <w:t>信息</w:t>
      </w:r>
      <w:r>
        <w:rPr>
          <w:rFonts w:ascii="Times New Roman" w:hAnsi="Times New Roman" w:eastAsia="宋体" w:cs="Times New Roman"/>
          <w:color w:val="auto"/>
          <w:kern w:val="0"/>
          <w:sz w:val="24"/>
          <w:highlight w:val="none"/>
          <w:lang w:val="zh-CN"/>
        </w:rPr>
        <w:t>栏</w:t>
      </w:r>
      <w:r>
        <w:rPr>
          <w:rFonts w:ascii="Times New Roman" w:hAnsi="Times New Roman" w:eastAsia="宋体" w:cs="Times New Roman"/>
          <w:color w:val="auto"/>
          <w:kern w:val="0"/>
          <w:sz w:val="24"/>
          <w:highlight w:val="none"/>
        </w:rPr>
        <w:t>（</w:t>
      </w:r>
      <w:r>
        <w:rPr>
          <w:rFonts w:ascii="Times New Roman" w:hAnsi="Times New Roman" w:eastAsia="宋体" w:cs="Times New Roman"/>
          <w:color w:val="auto"/>
          <w:kern w:val="0"/>
          <w:sz w:val="24"/>
          <w:highlight w:val="none"/>
          <w:lang w:val="zh-CN"/>
        </w:rPr>
        <w:t>网址</w:t>
      </w:r>
      <w:r>
        <w:rPr>
          <w:rFonts w:ascii="Times New Roman" w:hAnsi="Times New Roman" w:eastAsia="宋体" w:cs="Times New Roman"/>
          <w:color w:val="auto"/>
          <w:kern w:val="0"/>
          <w:sz w:val="24"/>
          <w:highlight w:val="none"/>
        </w:rPr>
        <w:t>：</w:t>
      </w:r>
      <w:r>
        <w:rPr>
          <w:color w:val="auto"/>
          <w:highlight w:val="none"/>
        </w:rPr>
        <w:fldChar w:fldCharType="begin"/>
      </w:r>
      <w:r>
        <w:rPr>
          <w:color w:val="auto"/>
          <w:highlight w:val="none"/>
        </w:rPr>
        <w:instrText xml:space="preserve"> HYPERLINK "http://hqc.cxmtc.net/default.html）" </w:instrText>
      </w:r>
      <w:r>
        <w:rPr>
          <w:color w:val="auto"/>
          <w:highlight w:val="none"/>
        </w:rPr>
        <w:fldChar w:fldCharType="separate"/>
      </w:r>
      <w:r>
        <w:rPr>
          <w:rFonts w:ascii="Times New Roman" w:hAnsi="Times New Roman" w:eastAsia="宋体" w:cs="Times New Roman"/>
          <w:color w:val="auto"/>
          <w:kern w:val="0"/>
          <w:sz w:val="24"/>
          <w:highlight w:val="none"/>
        </w:rPr>
        <w:t>http://www.cxmtc.net/list/cnhqcPc/38/1055/auto/12/0.html）</w:t>
      </w:r>
      <w:r>
        <w:rPr>
          <w:rFonts w:ascii="Times New Roman" w:hAnsi="Times New Roman" w:eastAsia="宋体" w:cs="Times New Roman"/>
          <w:color w:val="auto"/>
          <w:kern w:val="0"/>
          <w:sz w:val="24"/>
          <w:highlight w:val="none"/>
        </w:rPr>
        <w:fldChar w:fldCharType="end"/>
      </w:r>
      <w:r>
        <w:rPr>
          <w:rFonts w:ascii="Times New Roman" w:hAnsi="Times New Roman" w:eastAsia="宋体" w:cs="Times New Roman"/>
          <w:color w:val="auto"/>
          <w:kern w:val="0"/>
          <w:sz w:val="24"/>
          <w:szCs w:val="21"/>
          <w:highlight w:val="none"/>
        </w:rPr>
        <w:t>中查看公示最终结果。</w:t>
      </w:r>
    </w:p>
    <w:p>
      <w:pP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5</w:t>
      </w:r>
      <w:r>
        <w:rPr>
          <w:rFonts w:ascii="Times New Roman" w:hAnsi="Times New Roman" w:eastAsia="宋体" w:cs="Times New Roman"/>
          <w:b/>
          <w:bCs/>
          <w:color w:val="auto"/>
          <w:sz w:val="28"/>
          <w:szCs w:val="28"/>
          <w:highlight w:val="none"/>
        </w:rPr>
        <w:t>.8 中选通知</w:t>
      </w:r>
    </w:p>
    <w:p>
      <w:pPr>
        <w:tabs>
          <w:tab w:val="left" w:pos="849"/>
        </w:tabs>
        <w:autoSpaceDE w:val="0"/>
        <w:autoSpaceDN w:val="0"/>
        <w:adjustRightInd w:val="0"/>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采购人以书面形式向中</w:t>
      </w:r>
      <w:r>
        <w:rPr>
          <w:rFonts w:hint="eastAsia" w:ascii="Times New Roman" w:hAnsi="Times New Roman" w:eastAsia="宋体" w:cs="Times New Roman"/>
          <w:color w:val="auto"/>
          <w:kern w:val="0"/>
          <w:sz w:val="24"/>
          <w:highlight w:val="none"/>
          <w:lang w:val="en-US" w:eastAsia="zh-CN"/>
        </w:rPr>
        <w:t>选</w:t>
      </w:r>
      <w:r>
        <w:rPr>
          <w:rFonts w:ascii="Times New Roman" w:hAnsi="Times New Roman" w:eastAsia="宋体" w:cs="Times New Roman"/>
          <w:color w:val="auto"/>
          <w:kern w:val="0"/>
          <w:sz w:val="24"/>
          <w:highlight w:val="none"/>
        </w:rPr>
        <w:t>人发出中选通知书，同时将中标结果通知未中选的</w:t>
      </w: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w:t>
      </w:r>
    </w:p>
    <w:p>
      <w:pP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5</w:t>
      </w:r>
      <w:r>
        <w:rPr>
          <w:rFonts w:ascii="Times New Roman" w:hAnsi="Times New Roman" w:eastAsia="宋体" w:cs="Times New Roman"/>
          <w:b/>
          <w:bCs/>
          <w:color w:val="auto"/>
          <w:sz w:val="28"/>
          <w:szCs w:val="28"/>
          <w:highlight w:val="none"/>
        </w:rPr>
        <w:t>.9 合同签订</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1、采购单位与中选单位应于确定中选单位之日起三十日内，按照比选文件和中选单位的</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文件订立书面合同。如中选单位拒绝签订合同，并给采购单位造成损失的，中选单位应承担赔偿责任。</w:t>
      </w:r>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highlight w:val="none"/>
        </w:rPr>
        <w:t>2</w:t>
      </w:r>
      <w:r>
        <w:rPr>
          <w:rFonts w:ascii="Times New Roman" w:hAnsi="Times New Roman" w:eastAsia="宋体" w:cs="Times New Roman"/>
          <w:color w:val="auto"/>
          <w:kern w:val="0"/>
          <w:sz w:val="24"/>
          <w:highlight w:val="none"/>
        </w:rPr>
        <w:t>、签订合同应以比选文件和比选承诺为依据。</w:t>
      </w:r>
    </w:p>
    <w:p>
      <w:pP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5</w:t>
      </w:r>
      <w:r>
        <w:rPr>
          <w:rFonts w:ascii="Times New Roman" w:hAnsi="Times New Roman" w:eastAsia="宋体" w:cs="Times New Roman"/>
          <w:b/>
          <w:bCs/>
          <w:color w:val="auto"/>
          <w:sz w:val="28"/>
          <w:szCs w:val="28"/>
          <w:highlight w:val="none"/>
        </w:rPr>
        <w:t>.1</w:t>
      </w:r>
      <w:r>
        <w:rPr>
          <w:rFonts w:hint="eastAsia" w:ascii="Times New Roman" w:hAnsi="Times New Roman" w:eastAsia="宋体" w:cs="Times New Roman"/>
          <w:b/>
          <w:bCs/>
          <w:color w:val="auto"/>
          <w:sz w:val="28"/>
          <w:szCs w:val="28"/>
          <w:highlight w:val="none"/>
        </w:rPr>
        <w:t>0</w:t>
      </w:r>
      <w:r>
        <w:rPr>
          <w:rFonts w:ascii="Times New Roman" w:hAnsi="Times New Roman" w:eastAsia="宋体" w:cs="Times New Roman"/>
          <w:b/>
          <w:bCs/>
          <w:color w:val="auto"/>
          <w:sz w:val="28"/>
          <w:szCs w:val="28"/>
          <w:highlight w:val="none"/>
        </w:rPr>
        <w:t xml:space="preserve"> 比选保证金</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比选保证金：申请人在参选时需准</w:t>
      </w:r>
      <w:r>
        <w:rPr>
          <w:rFonts w:hint="eastAsia" w:ascii="Times New Roman" w:hAnsi="Times New Roman" w:eastAsia="宋体" w:cs="Times New Roman"/>
          <w:color w:val="auto"/>
          <w:sz w:val="24"/>
          <w:highlight w:val="none"/>
        </w:rPr>
        <w:t>备10000.00元（大写：人民币壹万元整）作为</w:t>
      </w:r>
      <w:r>
        <w:rPr>
          <w:rFonts w:hint="eastAsia" w:ascii="Times New Roman" w:hAnsi="Times New Roman" w:eastAsia="宋体" w:cs="Times New Roman"/>
          <w:color w:val="auto"/>
          <w:sz w:val="24"/>
          <w:highlight w:val="none"/>
        </w:rPr>
        <w:t>比选保证金，请自备信封，当场清点密封后递交。未中选申请人的保证金在比选结束后当场退还，中选人的参选保证金在合同签订后无息退还。未提交保证金不得参加本项目。</w:t>
      </w:r>
    </w:p>
    <w:p>
      <w:pP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5.11 比选有效期</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1、本项目的比选有效期为</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文件递交截止时间结束后</w:t>
      </w:r>
      <w:r>
        <w:rPr>
          <w:rFonts w:hint="eastAsia" w:ascii="Times New Roman" w:hAnsi="Times New Roman" w:eastAsia="宋体" w:cs="Times New Roman"/>
          <w:color w:val="auto"/>
          <w:sz w:val="24"/>
          <w:highlight w:val="none"/>
        </w:rPr>
        <w:t>90</w:t>
      </w:r>
      <w:r>
        <w:rPr>
          <w:rFonts w:ascii="Times New Roman" w:hAnsi="Times New Roman" w:eastAsia="宋体" w:cs="Times New Roman"/>
          <w:color w:val="auto"/>
          <w:sz w:val="24"/>
          <w:highlight w:val="none"/>
        </w:rPr>
        <w:t>日历天，有效期短于此规定的</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文件将被视为无效。</w:t>
      </w:r>
    </w:p>
    <w:p>
      <w:pPr>
        <w:spacing w:line="360" w:lineRule="auto"/>
        <w:ind w:firstLine="480" w:firstLineChars="200"/>
        <w:rPr>
          <w:rFonts w:ascii="Times New Roman" w:hAnsi="Times New Roman" w:eastAsia="宋体" w:cs="Times New Roman"/>
          <w:color w:val="auto"/>
          <w:sz w:val="28"/>
          <w:highlight w:val="none"/>
        </w:rPr>
      </w:pPr>
      <w:r>
        <w:rPr>
          <w:rFonts w:ascii="Times New Roman" w:hAnsi="Times New Roman" w:eastAsia="宋体" w:cs="Times New Roman"/>
          <w:color w:val="auto"/>
          <w:sz w:val="24"/>
          <w:highlight w:val="none"/>
        </w:rPr>
        <w:t>2、在特殊情况下，采购人可于</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有效期满之前，向</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人提出延长比选有效期的要求，</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人应立即以传真等书面形式对此要求向采购人作出答复，</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人可以拒绝接受这一要求而放弃比选，比选保证金将尽快无息退还。同意这一要求的</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人，无需也不允许修改其</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文件，但须相应延长比选保证金的有效期。受比选有效期制约的所有权利和义务均应延长至新的有效期。</w:t>
      </w:r>
    </w:p>
    <w:p>
      <w:pPr>
        <w:rPr>
          <w:rFonts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5</w:t>
      </w:r>
      <w:r>
        <w:rPr>
          <w:rFonts w:ascii="Times New Roman" w:hAnsi="Times New Roman" w:eastAsia="宋体" w:cs="Times New Roman"/>
          <w:b/>
          <w:bCs/>
          <w:color w:val="auto"/>
          <w:sz w:val="28"/>
          <w:szCs w:val="28"/>
          <w:highlight w:val="none"/>
        </w:rPr>
        <w:t>.1</w:t>
      </w:r>
      <w:r>
        <w:rPr>
          <w:rFonts w:hint="eastAsia" w:ascii="Times New Roman" w:hAnsi="Times New Roman" w:eastAsia="宋体" w:cs="Times New Roman"/>
          <w:b/>
          <w:bCs/>
          <w:color w:val="auto"/>
          <w:sz w:val="28"/>
          <w:szCs w:val="28"/>
          <w:highlight w:val="none"/>
        </w:rPr>
        <w:t>2</w:t>
      </w:r>
      <w:r>
        <w:rPr>
          <w:rFonts w:ascii="Times New Roman" w:hAnsi="Times New Roman" w:eastAsia="宋体" w:cs="Times New Roman"/>
          <w:b/>
          <w:bCs/>
          <w:color w:val="auto"/>
          <w:sz w:val="28"/>
          <w:szCs w:val="28"/>
          <w:highlight w:val="none"/>
        </w:rPr>
        <w:t xml:space="preserve"> 无效比选的情形</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文件资格审查项中任意一项不</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2、开标一览表、法人授权委托书提供信息不全或未盖公章或未手写签名；</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文件未装订成册（胶封）或未逐页标注页码；</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文件附有采购人不能接受的条件；</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5、不符合</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文件中规定的实质性要求（报价、技术要求、</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人资质要求）；</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6、有三项及以上技术指标负偏离的；</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7、不</w:t>
      </w:r>
      <w:r>
        <w:rPr>
          <w:rFonts w:hint="eastAsia" w:ascii="Times New Roman" w:hAnsi="Times New Roman" w:eastAsia="宋体" w:cs="Times New Roman"/>
          <w:color w:val="auto"/>
          <w:sz w:val="24"/>
          <w:highlight w:val="none"/>
        </w:rPr>
        <w:t>比选申请比选</w:t>
      </w:r>
      <w:r>
        <w:rPr>
          <w:rFonts w:ascii="Times New Roman" w:hAnsi="Times New Roman" w:eastAsia="宋体" w:cs="Times New Roman"/>
          <w:color w:val="auto"/>
          <w:sz w:val="24"/>
          <w:highlight w:val="none"/>
        </w:rPr>
        <w:t>文件规定的付款方式；</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8、有法律法规规定的其他违法行为。</w:t>
      </w:r>
    </w:p>
    <w:p>
      <w:pPr>
        <w:autoSpaceDE w:val="0"/>
        <w:autoSpaceDN w:val="0"/>
        <w:adjustRightInd w:val="0"/>
        <w:spacing w:line="360" w:lineRule="auto"/>
        <w:ind w:firstLine="480" w:firstLineChars="200"/>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sz w:val="24"/>
          <w:highlight w:val="none"/>
        </w:rPr>
        <w:t>9、提供的证明材料不全。</w:t>
      </w:r>
    </w:p>
    <w:p>
      <w:pPr>
        <w:keepNext/>
        <w:keepLines/>
        <w:spacing w:after="260" w:line="415" w:lineRule="auto"/>
        <w:outlineLvl w:val="1"/>
        <w:rPr>
          <w:rFonts w:ascii="Times New Roman" w:hAnsi="Times New Roman" w:eastAsia="宋体" w:cs="Times New Roman"/>
          <w:b/>
          <w:bCs/>
          <w:color w:val="auto"/>
          <w:sz w:val="32"/>
          <w:szCs w:val="32"/>
          <w:highlight w:val="none"/>
        </w:rPr>
      </w:pPr>
      <w:bookmarkStart w:id="98" w:name="_Toc509049341"/>
      <w:bookmarkStart w:id="99" w:name="_Toc5429"/>
      <w:bookmarkStart w:id="100" w:name="_Toc17453"/>
      <w:bookmarkStart w:id="101" w:name="_Toc15591"/>
      <w:r>
        <w:rPr>
          <w:rFonts w:hint="eastAsia" w:ascii="Times New Roman" w:hAnsi="Times New Roman" w:eastAsia="宋体" w:cs="Times New Roman"/>
          <w:b/>
          <w:bCs/>
          <w:color w:val="auto"/>
          <w:sz w:val="32"/>
          <w:szCs w:val="32"/>
          <w:highlight w:val="none"/>
        </w:rPr>
        <w:t>6、</w:t>
      </w:r>
      <w:r>
        <w:rPr>
          <w:rFonts w:ascii="Times New Roman" w:hAnsi="Times New Roman" w:eastAsia="宋体" w:cs="Times New Roman"/>
          <w:b/>
          <w:bCs/>
          <w:color w:val="auto"/>
          <w:sz w:val="32"/>
          <w:szCs w:val="32"/>
          <w:highlight w:val="none"/>
        </w:rPr>
        <w:t>费用承担</w:t>
      </w:r>
      <w:bookmarkEnd w:id="98"/>
      <w:bookmarkEnd w:id="99"/>
      <w:bookmarkEnd w:id="100"/>
      <w:bookmarkEnd w:id="101"/>
    </w:p>
    <w:p>
      <w:pPr>
        <w:widowControl/>
        <w:spacing w:line="420" w:lineRule="auto"/>
        <w:ind w:firstLine="420"/>
        <w:jc w:val="left"/>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申请</w:t>
      </w:r>
      <w:r>
        <w:rPr>
          <w:rFonts w:ascii="Times New Roman" w:hAnsi="Times New Roman" w:eastAsia="宋体" w:cs="Times New Roman"/>
          <w:color w:val="auto"/>
          <w:kern w:val="0"/>
          <w:sz w:val="24"/>
          <w:highlight w:val="none"/>
        </w:rPr>
        <w:t>人准备和参加</w:t>
      </w:r>
      <w:r>
        <w:rPr>
          <w:rFonts w:hint="eastAsia" w:ascii="Times New Roman" w:hAnsi="Times New Roman" w:eastAsia="宋体" w:cs="Times New Roman"/>
          <w:color w:val="auto"/>
          <w:kern w:val="0"/>
          <w:sz w:val="24"/>
          <w:highlight w:val="none"/>
        </w:rPr>
        <w:t>比选</w:t>
      </w:r>
      <w:r>
        <w:rPr>
          <w:rFonts w:ascii="Times New Roman" w:hAnsi="Times New Roman" w:eastAsia="宋体" w:cs="Times New Roman"/>
          <w:color w:val="auto"/>
          <w:kern w:val="0"/>
          <w:sz w:val="24"/>
          <w:highlight w:val="none"/>
        </w:rPr>
        <w:t>活动发生的费用自理。</w:t>
      </w:r>
    </w:p>
    <w:p>
      <w:pPr>
        <w:keepNext/>
        <w:keepLines/>
        <w:spacing w:after="260" w:line="415" w:lineRule="auto"/>
        <w:outlineLvl w:val="1"/>
        <w:rPr>
          <w:rFonts w:ascii="Times New Roman" w:hAnsi="Times New Roman" w:eastAsia="宋体" w:cs="Times New Roman"/>
          <w:b/>
          <w:bCs/>
          <w:color w:val="auto"/>
          <w:sz w:val="32"/>
          <w:szCs w:val="32"/>
          <w:highlight w:val="none"/>
        </w:rPr>
      </w:pPr>
      <w:bookmarkStart w:id="102" w:name="_Toc509049353"/>
      <w:bookmarkStart w:id="103" w:name="_Toc18478"/>
      <w:bookmarkStart w:id="104" w:name="_Toc22628"/>
      <w:bookmarkStart w:id="105" w:name="_Toc340136213"/>
      <w:bookmarkStart w:id="106" w:name="_Toc30154"/>
      <w:r>
        <w:rPr>
          <w:rFonts w:hint="eastAsia" w:ascii="Times New Roman" w:hAnsi="Times New Roman" w:eastAsia="宋体" w:cs="Times New Roman"/>
          <w:b/>
          <w:bCs/>
          <w:color w:val="auto"/>
          <w:sz w:val="32"/>
          <w:szCs w:val="32"/>
          <w:highlight w:val="none"/>
        </w:rPr>
        <w:t>7、</w:t>
      </w:r>
      <w:r>
        <w:rPr>
          <w:rFonts w:ascii="Times New Roman" w:hAnsi="Times New Roman" w:eastAsia="宋体" w:cs="Times New Roman"/>
          <w:b/>
          <w:bCs/>
          <w:color w:val="auto"/>
          <w:sz w:val="32"/>
          <w:szCs w:val="32"/>
          <w:highlight w:val="none"/>
        </w:rPr>
        <w:t>文件真实性</w:t>
      </w:r>
      <w:bookmarkEnd w:id="102"/>
      <w:bookmarkEnd w:id="103"/>
      <w:bookmarkEnd w:id="104"/>
      <w:bookmarkEnd w:id="105"/>
      <w:bookmarkEnd w:id="106"/>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采购人不承担核查资料真实性的义务。由于</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人提供虚假的材料，导致采购项目无法顺利进行或者失败，由此造成的后果及经济损失，由</w:t>
      </w:r>
      <w:r>
        <w:rPr>
          <w:rFonts w:hint="eastAsia" w:ascii="Times New Roman" w:hAnsi="Times New Roman" w:eastAsia="宋体" w:cs="Times New Roman"/>
          <w:color w:val="auto"/>
          <w:sz w:val="24"/>
          <w:highlight w:val="none"/>
        </w:rPr>
        <w:t>申请</w:t>
      </w:r>
      <w:r>
        <w:rPr>
          <w:rFonts w:ascii="Times New Roman" w:hAnsi="Times New Roman" w:eastAsia="宋体" w:cs="Times New Roman"/>
          <w:color w:val="auto"/>
          <w:sz w:val="24"/>
          <w:highlight w:val="none"/>
        </w:rPr>
        <w:t>人承担全部法律责任。</w:t>
      </w:r>
    </w:p>
    <w:p>
      <w:pPr>
        <w:keepNext/>
        <w:keepLines/>
        <w:spacing w:after="260" w:line="415" w:lineRule="auto"/>
        <w:outlineLvl w:val="1"/>
        <w:rPr>
          <w:rFonts w:ascii="Times New Roman" w:hAnsi="Times New Roman" w:eastAsia="宋体" w:cs="Times New Roman"/>
          <w:b/>
          <w:bCs/>
          <w:color w:val="auto"/>
          <w:sz w:val="32"/>
          <w:szCs w:val="32"/>
          <w:highlight w:val="none"/>
        </w:rPr>
      </w:pPr>
      <w:bookmarkStart w:id="107" w:name="_Toc16904"/>
      <w:bookmarkStart w:id="108" w:name="_Toc22272"/>
      <w:r>
        <w:rPr>
          <w:rFonts w:hint="eastAsia" w:ascii="Times New Roman" w:hAnsi="Times New Roman" w:eastAsia="宋体" w:cs="Times New Roman"/>
          <w:b/>
          <w:bCs/>
          <w:color w:val="auto"/>
          <w:sz w:val="32"/>
          <w:szCs w:val="32"/>
          <w:highlight w:val="none"/>
        </w:rPr>
        <w:t>8、质疑和投诉</w:t>
      </w:r>
      <w:bookmarkEnd w:id="107"/>
      <w:bookmarkEnd w:id="108"/>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一、申请人有权就采购事宜提出询问和质疑</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1、比选申请文件开启程序受《中华人民共和国政府采购法》和相关法律法规的约束，并受到严格的内部监督，以确保授予合同过程的公平公正。</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2、申请人对评审文件条款或技术、商务参数有异议的，应当在比选申请文件开启前通过澄清或修改程序提出。</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3、申请人对评审事项有疑问的，可以向委托评审组织部门提出询问。</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4、申请人认为其比选申请文件未获公平评审或评审过程和中选结果使自己的合法权益受到损害的，应当在知道或者应知其权益受到损害之日起7个工作日内提出质疑。</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5、质疑应当以书面形式向采购组织部门提出，经法定代表人签字并加盖公章。</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6、质疑书应当包括以下主要内容：被质疑项目名称、项目编号、包号、比选公告发布时间、质疑事项、法律依据（具体条款）、质疑人全称、法定代表人签字、盖章、有效联系方式（包括手机、传真号码）。</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7、质疑应按照“谁主张、谁举证”的原则，质疑书应当附相关证明材料。质疑材料应为简体中文，一式二份。</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8、有下列情形之一的，属于无效质疑，委托评审组织部门可不予受理：</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（1）未在有效期限内提出质疑的；</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（2）质疑未以书面形式提出的；</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（3）所提交材料未明示属于质疑材料的；</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（4）质疑书没有法定代表人签署本人姓名或印盖本人姓名章并加盖单位公章的；质疑书由参加采购项目的授权代表签署本人姓名或印盖本人姓名章，但没有法定代表人特别授权的；</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（5）质疑书未提供有效联系人或联系方式的；</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（6）质疑事项已经进入投诉或者诉讼程序的；</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（7）质疑书未附相关证明材料，被视为无有效证据支持的；</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（8）供应商对谈判文件条款或技术参数有异议，未在谈判前通过澄清或修改程序提出，并且供应商已经参与报价，而于开启后对谈判文件提出质疑的；</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（9）在提出本次质疑前半年内连续三次质疑而无事实依据的；</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（10）其它不符合受理条件的情形。</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9、委托人或采购代理机构将在收到书面质疑后7个工作日内审查质疑事项，做出答复或相关处理决定，并以书面形式通知质疑申请人和其他有关申请人，但答复的内容不涉及商业秘密。</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10、申请人进行虚假和恶意质疑的，将会列入不良记录名单，在一至三年内禁止参加委托人的采购活动。</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11、质疑申请人对委托人或采购代理机构的答复不满意以及委托人或评审组织机构未在规定的时间内做出答复的，可以在答复期满后15个工作日内向学校纪检部门投诉。</w:t>
      </w:r>
    </w:p>
    <w:p>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二、投诉</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质疑申请人对评审组织部门的答复不满意或者未在规定时间内答复的，可以在答复期满后15个工作日内按有关规定，向学校纪检部门投诉。学校监管部门应当在收到投诉后30个工作日内，对投诉事项作出处理决定。</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2、处理投诉事项期间，学校纪检部门可以视具体情况书面通知暂停签订合同等活动，但暂停时间最长不得超过30日。</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3、申请人投诉实行实名制，其投诉应当有具体的投诉事项及事实根据，不得进行虚假、恶意投诉。</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4、投诉人提起投诉应当符合下列条件：</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（1）投诉人是参与所投诉本次评审活动的申请人；</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（2）提起投诉前已依法进行质疑；</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（3）投诉书内容符合《政府采购供应商投诉处理办法》的规定；</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（4）在投诉有效期限内提起投诉；</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（5）属于学校纪检部门管辖；</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（6）同一投诉事项未经学校纪检处投诉处理；</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（7）纪检部门规定的其他条件。</w:t>
      </w:r>
      <w:bookmarkEnd w:id="65"/>
      <w:bookmarkStart w:id="109" w:name="_Toc32340_WPSOffice_Level2"/>
      <w:bookmarkStart w:id="110" w:name="_Toc20297_WPSOffice_Level1"/>
      <w:bookmarkStart w:id="111" w:name="_Toc60996684"/>
    </w:p>
    <w:p>
      <w:pPr>
        <w:rPr>
          <w:color w:val="auto"/>
          <w:highlight w:val="none"/>
        </w:rPr>
        <w:sectPr>
          <w:pgSz w:w="11906" w:h="16838"/>
          <w:pgMar w:top="1418" w:right="1134" w:bottom="1134" w:left="1417" w:header="936" w:footer="720" w:gutter="0"/>
          <w:cols w:space="720" w:num="1"/>
          <w:docGrid w:linePitch="331" w:charSpace="0"/>
        </w:sectPr>
      </w:pPr>
    </w:p>
    <w:bookmarkEnd w:id="109"/>
    <w:bookmarkEnd w:id="110"/>
    <w:bookmarkEnd w:id="111"/>
    <w:p>
      <w:pPr>
        <w:pStyle w:val="4"/>
        <w:numPr>
          <w:ilvl w:val="0"/>
          <w:numId w:val="4"/>
        </w:numPr>
        <w:jc w:val="center"/>
        <w:rPr>
          <w:rFonts w:ascii="Times New Roman" w:hAnsi="Times New Roman" w:cs="Times New Roman"/>
          <w:color w:val="auto"/>
          <w:highlight w:val="none"/>
        </w:rPr>
      </w:pPr>
      <w:bookmarkStart w:id="112" w:name="_Toc16049"/>
      <w:r>
        <w:rPr>
          <w:rFonts w:hint="eastAsia" w:ascii="Times New Roman" w:hAnsi="Times New Roman" w:cs="Times New Roman"/>
          <w:color w:val="auto"/>
          <w:highlight w:val="none"/>
        </w:rPr>
        <w:t>合同书样式及主要条款</w:t>
      </w:r>
      <w:bookmarkEnd w:id="112"/>
    </w:p>
    <w:p>
      <w:pPr>
        <w:tabs>
          <w:tab w:val="left" w:pos="720"/>
        </w:tabs>
        <w:spacing w:line="360" w:lineRule="auto"/>
        <w:jc w:val="center"/>
        <w:rPr>
          <w:rFonts w:ascii="宋体" w:hAnsi="宋体" w:eastAsia="宋体" w:cs="宋体"/>
          <w:b/>
          <w:color w:val="auto"/>
          <w:sz w:val="48"/>
          <w:szCs w:val="48"/>
          <w:highlight w:val="none"/>
        </w:rPr>
      </w:pPr>
      <w:bookmarkStart w:id="113" w:name="_Toc22115_WPSOffice_Level1"/>
      <w:bookmarkStart w:id="114" w:name="_Toc60996686"/>
      <w:bookmarkStart w:id="115" w:name="_第四章__投标文件格式"/>
      <w:bookmarkStart w:id="116" w:name="_Toc27123_WPSOffice_Level2"/>
      <w:r>
        <w:rPr>
          <w:rFonts w:hint="eastAsia" w:ascii="Times New Roman" w:hAnsi="Times New Roman" w:eastAsia="宋体" w:cs="Times New Roman"/>
          <w:b/>
          <w:bCs/>
          <w:color w:val="auto"/>
          <w:kern w:val="0"/>
          <w:sz w:val="44"/>
          <w:szCs w:val="44"/>
          <w:highlight w:val="none"/>
        </w:rPr>
        <w:t>楚雄医药高等专科学校食堂大宗食材定点供应商采购项目</w:t>
      </w:r>
    </w:p>
    <w:p>
      <w:pPr>
        <w:tabs>
          <w:tab w:val="left" w:pos="720"/>
        </w:tabs>
        <w:spacing w:line="360" w:lineRule="auto"/>
        <w:jc w:val="center"/>
        <w:rPr>
          <w:rFonts w:ascii="宋体" w:hAnsi="宋体" w:eastAsia="宋体" w:cs="宋体"/>
          <w:b/>
          <w:color w:val="auto"/>
          <w:sz w:val="48"/>
          <w:szCs w:val="48"/>
          <w:highlight w:val="none"/>
        </w:rPr>
      </w:pPr>
    </w:p>
    <w:p>
      <w:pPr>
        <w:tabs>
          <w:tab w:val="left" w:pos="720"/>
        </w:tabs>
        <w:spacing w:line="360" w:lineRule="auto"/>
        <w:rPr>
          <w:rFonts w:ascii="宋体" w:hAnsi="宋体" w:eastAsia="宋体" w:cs="宋体"/>
          <w:b/>
          <w:color w:val="auto"/>
          <w:szCs w:val="21"/>
          <w:highlight w:val="none"/>
        </w:rPr>
      </w:pPr>
    </w:p>
    <w:p>
      <w:pPr>
        <w:tabs>
          <w:tab w:val="left" w:pos="720"/>
        </w:tabs>
        <w:spacing w:line="360" w:lineRule="auto"/>
        <w:jc w:val="center"/>
        <w:rPr>
          <w:rFonts w:ascii="宋体" w:hAnsi="宋体" w:eastAsia="宋体" w:cs="宋体"/>
          <w:b/>
          <w:color w:val="auto"/>
          <w:sz w:val="48"/>
          <w:szCs w:val="48"/>
          <w:highlight w:val="none"/>
        </w:rPr>
      </w:pPr>
      <w:bookmarkStart w:id="117" w:name="_Toc20297_WPSOffice_Level2"/>
      <w:bookmarkStart w:id="118" w:name="_Toc19285_WPSOffice_Level3"/>
      <w:r>
        <w:rPr>
          <w:rFonts w:hint="eastAsia" w:ascii="宋体" w:hAnsi="宋体" w:eastAsia="宋体" w:cs="宋体"/>
          <w:b/>
          <w:color w:val="auto"/>
          <w:sz w:val="48"/>
          <w:szCs w:val="48"/>
          <w:highlight w:val="none"/>
        </w:rPr>
        <w:t>合　同　书</w:t>
      </w:r>
      <w:bookmarkEnd w:id="117"/>
      <w:bookmarkEnd w:id="118"/>
    </w:p>
    <w:p>
      <w:pPr>
        <w:tabs>
          <w:tab w:val="left" w:pos="720"/>
        </w:tabs>
        <w:spacing w:line="360" w:lineRule="auto"/>
        <w:rPr>
          <w:rFonts w:ascii="宋体" w:hAnsi="宋体" w:eastAsia="宋体" w:cs="宋体"/>
          <w:b/>
          <w:color w:val="auto"/>
          <w:szCs w:val="21"/>
          <w:highlight w:val="none"/>
        </w:rPr>
      </w:pPr>
    </w:p>
    <w:p>
      <w:pPr>
        <w:autoSpaceDE w:val="0"/>
        <w:autoSpaceDN w:val="0"/>
        <w:adjustRightInd w:val="0"/>
        <w:rPr>
          <w:rFonts w:ascii="Arial Unicode MS" w:hAnsi="Times New Roman" w:eastAsia="Arial Unicode MS" w:cs="Arial Unicode MS"/>
          <w:color w:val="auto"/>
          <w:sz w:val="24"/>
          <w:highlight w:val="none"/>
        </w:rPr>
      </w:pPr>
    </w:p>
    <w:p>
      <w:pPr>
        <w:snapToGrid w:val="0"/>
        <w:spacing w:beforeLines="30" w:line="500" w:lineRule="exact"/>
        <w:rPr>
          <w:rFonts w:ascii="宋体" w:hAnsi="宋体" w:eastAsia="宋体" w:cs="宋体"/>
          <w:b/>
          <w:color w:val="auto"/>
          <w:sz w:val="24"/>
          <w:highlight w:val="none"/>
        </w:rPr>
      </w:pPr>
    </w:p>
    <w:p>
      <w:pPr>
        <w:snapToGrid w:val="0"/>
        <w:spacing w:beforeLines="30" w:line="500" w:lineRule="exact"/>
        <w:ind w:firstLine="1063" w:firstLineChars="441"/>
        <w:rPr>
          <w:rFonts w:ascii="宋体" w:hAnsi="宋体" w:eastAsia="宋体" w:cs="宋体"/>
          <w:b/>
          <w:color w:val="auto"/>
          <w:sz w:val="24"/>
          <w:highlight w:val="none"/>
        </w:rPr>
      </w:pPr>
      <w:r>
        <w:rPr>
          <w:rFonts w:hint="eastAsia" w:ascii="宋体" w:hAnsi="宋体" w:eastAsia="宋体" w:cs="宋体"/>
          <w:b/>
          <w:color w:val="auto"/>
          <w:sz w:val="24"/>
          <w:highlight w:val="none"/>
        </w:rPr>
        <w:t>甲  方：</w:t>
      </w:r>
    </w:p>
    <w:p>
      <w:pPr>
        <w:snapToGrid w:val="0"/>
        <w:spacing w:beforeLines="30" w:line="500" w:lineRule="exact"/>
        <w:ind w:firstLine="1063" w:firstLineChars="441"/>
        <w:rPr>
          <w:rFonts w:ascii="宋体" w:hAnsi="宋体" w:eastAsia="宋体" w:cs="宋体"/>
          <w:b/>
          <w:color w:val="auto"/>
          <w:sz w:val="24"/>
          <w:highlight w:val="none"/>
        </w:rPr>
      </w:pPr>
      <w:r>
        <w:rPr>
          <w:rFonts w:hint="eastAsia" w:ascii="宋体" w:hAnsi="宋体" w:eastAsia="宋体" w:cs="宋体"/>
          <w:b/>
          <w:color w:val="auto"/>
          <w:sz w:val="24"/>
          <w:highlight w:val="none"/>
        </w:rPr>
        <w:t>乙  方：</w:t>
      </w:r>
    </w:p>
    <w:p>
      <w:pPr>
        <w:snapToGrid w:val="0"/>
        <w:spacing w:beforeLines="30" w:line="500" w:lineRule="exact"/>
        <w:ind w:firstLine="1058" w:firstLineChars="439"/>
        <w:rPr>
          <w:rFonts w:ascii="宋体" w:hAnsi="宋体" w:eastAsia="宋体" w:cs="宋体"/>
          <w:b/>
          <w:color w:val="auto"/>
          <w:sz w:val="24"/>
          <w:highlight w:val="none"/>
        </w:rPr>
      </w:pPr>
    </w:p>
    <w:p>
      <w:pPr>
        <w:autoSpaceDE w:val="0"/>
        <w:autoSpaceDN w:val="0"/>
        <w:adjustRightInd w:val="0"/>
        <w:rPr>
          <w:rFonts w:ascii="宋体" w:hAnsi="宋体" w:eastAsia="宋体" w:cs="宋体"/>
          <w:color w:val="auto"/>
          <w:sz w:val="24"/>
          <w:highlight w:val="none"/>
        </w:rPr>
      </w:pPr>
    </w:p>
    <w:p>
      <w:pPr>
        <w:snapToGrid w:val="0"/>
        <w:spacing w:beforeLines="30" w:line="500" w:lineRule="exact"/>
        <w:rPr>
          <w:rFonts w:ascii="宋体" w:hAnsi="宋体" w:eastAsia="宋体" w:cs="宋体"/>
          <w:b/>
          <w:color w:val="auto"/>
          <w:sz w:val="24"/>
          <w:highlight w:val="none"/>
        </w:rPr>
      </w:pPr>
    </w:p>
    <w:p>
      <w:pPr>
        <w:snapToGrid w:val="0"/>
        <w:spacing w:beforeLines="30" w:line="500" w:lineRule="exact"/>
        <w:ind w:firstLine="1063" w:firstLineChars="441"/>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签定地点： </w:t>
      </w:r>
    </w:p>
    <w:p>
      <w:pPr>
        <w:snapToGrid w:val="0"/>
        <w:spacing w:beforeLines="30" w:line="500" w:lineRule="exact"/>
        <w:rPr>
          <w:rFonts w:ascii="宋体" w:hAnsi="宋体" w:eastAsia="宋体" w:cs="宋体"/>
          <w:b/>
          <w:color w:val="auto"/>
          <w:sz w:val="24"/>
          <w:highlight w:val="none"/>
        </w:rPr>
      </w:pPr>
    </w:p>
    <w:p>
      <w:pPr>
        <w:tabs>
          <w:tab w:val="left" w:pos="720"/>
        </w:tabs>
        <w:spacing w:line="360" w:lineRule="auto"/>
        <w:ind w:firstLine="964" w:firstLineChars="400"/>
        <w:rPr>
          <w:rFonts w:ascii="宋体" w:hAnsi="宋体" w:eastAsia="宋体" w:cs="宋体"/>
          <w:b/>
          <w:color w:val="auto"/>
          <w:szCs w:val="21"/>
          <w:highlight w:val="none"/>
        </w:rPr>
      </w:pPr>
      <w:r>
        <w:rPr>
          <w:rFonts w:hint="eastAsia" w:ascii="宋体" w:hAnsi="宋体" w:eastAsia="宋体" w:cs="宋体"/>
          <w:b/>
          <w:color w:val="auto"/>
          <w:sz w:val="24"/>
          <w:highlight w:val="none"/>
        </w:rPr>
        <w:t>签定日期：</w:t>
      </w:r>
    </w:p>
    <w:p>
      <w:pPr>
        <w:tabs>
          <w:tab w:val="left" w:pos="720"/>
        </w:tabs>
        <w:spacing w:line="360" w:lineRule="auto"/>
        <w:rPr>
          <w:rFonts w:ascii="宋体" w:hAnsi="宋体" w:eastAsia="宋体" w:cs="宋体"/>
          <w:b/>
          <w:color w:val="auto"/>
          <w:szCs w:val="21"/>
          <w:highlight w:val="none"/>
        </w:rPr>
      </w:pPr>
    </w:p>
    <w:p>
      <w:pPr>
        <w:spacing w:line="360" w:lineRule="auto"/>
        <w:rPr>
          <w:rFonts w:ascii="宋体" w:hAnsi="宋体" w:eastAsia="宋体" w:cs="宋体"/>
          <w:color w:val="auto"/>
          <w:szCs w:val="21"/>
          <w:highlight w:val="none"/>
        </w:rPr>
      </w:pPr>
    </w:p>
    <w:p>
      <w:pPr>
        <w:spacing w:line="600" w:lineRule="exact"/>
        <w:jc w:val="center"/>
        <w:rPr>
          <w:rFonts w:ascii="方正小标宋简体" w:hAnsi="宋体" w:eastAsia="方正小标宋简体" w:cs="宋体"/>
          <w:bCs/>
          <w:color w:val="auto"/>
          <w:sz w:val="44"/>
          <w:szCs w:val="44"/>
          <w:highlight w:val="none"/>
        </w:rPr>
      </w:pPr>
      <w:r>
        <w:rPr>
          <w:rFonts w:hint="eastAsia" w:asciiTheme="minorEastAsia" w:hAnsiTheme="minorEastAsia" w:cstheme="minorEastAsia"/>
          <w:b/>
          <w:bCs/>
          <w:color w:val="auto"/>
          <w:sz w:val="24"/>
          <w:highlight w:val="none"/>
        </w:rPr>
        <w:t>（说明：本合同作为本项目合同的参考，不作为最终合同，甲方有权在签订合同时对合同的相关条款及内容作进一步的细化和修改。）</w:t>
      </w:r>
    </w:p>
    <w:p>
      <w:pPr>
        <w:spacing w:line="600" w:lineRule="exact"/>
        <w:jc w:val="center"/>
        <w:rPr>
          <w:rFonts w:ascii="方正小标宋简体" w:hAnsi="宋体" w:eastAsia="方正小标宋简体" w:cs="宋体"/>
          <w:bCs/>
          <w:color w:val="auto"/>
          <w:sz w:val="44"/>
          <w:szCs w:val="44"/>
          <w:highlight w:val="none"/>
        </w:rPr>
      </w:pPr>
    </w:p>
    <w:p>
      <w:pPr>
        <w:spacing w:line="600" w:lineRule="exact"/>
        <w:jc w:val="center"/>
        <w:rPr>
          <w:rFonts w:ascii="方正小标宋简体" w:hAnsi="宋体" w:eastAsia="方正小标宋简体" w:cs="宋体"/>
          <w:bCs/>
          <w:color w:val="auto"/>
          <w:sz w:val="44"/>
          <w:szCs w:val="44"/>
          <w:highlight w:val="none"/>
        </w:rPr>
      </w:pPr>
    </w:p>
    <w:p>
      <w:pPr>
        <w:rPr>
          <w:color w:val="auto"/>
          <w:highlight w:val="none"/>
        </w:rPr>
      </w:pPr>
    </w:p>
    <w:p>
      <w:pPr>
        <w:jc w:val="center"/>
        <w:rPr>
          <w:color w:val="auto"/>
          <w:highlight w:val="none"/>
        </w:rPr>
      </w:pPr>
      <w:r>
        <w:rPr>
          <w:rFonts w:hint="eastAsia"/>
          <w:color w:val="auto"/>
          <w:sz w:val="44"/>
          <w:szCs w:val="44"/>
          <w:highlight w:val="none"/>
        </w:rPr>
        <w:t>供货合同</w:t>
      </w:r>
    </w:p>
    <w:p>
      <w:pPr>
        <w:spacing w:line="360" w:lineRule="auto"/>
        <w:ind w:firstLine="480" w:firstLineChars="200"/>
        <w:jc w:val="left"/>
        <w:rPr>
          <w:rFonts w:ascii="宋体" w:hAnsi="宋体" w:eastAsia="宋体" w:cs="宋体"/>
          <w:color w:val="auto"/>
          <w:sz w:val="24"/>
          <w:highlight w:val="none"/>
        </w:rPr>
      </w:pPr>
      <w:bookmarkStart w:id="119" w:name="_Toc11245959"/>
      <w:bookmarkStart w:id="120" w:name="_Toc11245956"/>
      <w:bookmarkStart w:id="121" w:name="OLE_LINK36"/>
      <w:r>
        <w:rPr>
          <w:rFonts w:hint="eastAsia" w:ascii="宋体" w:hAnsi="宋体" w:eastAsia="宋体" w:cs="宋体"/>
          <w:color w:val="auto"/>
          <w:sz w:val="24"/>
          <w:highlight w:val="none"/>
        </w:rPr>
        <w:t>甲  方：</w:t>
      </w:r>
      <w:bookmarkEnd w:id="119"/>
      <w:bookmarkStart w:id="122" w:name="_Toc11245960"/>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乙  方：</w:t>
      </w:r>
      <w:bookmarkEnd w:id="122"/>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为了保护甲、乙双方合法权益，根据《中华人民共和国民法典》及其他有关法律、法规、规章，双方签订本合同协议书。甲、乙双方本着自愿、平等、互利和诚实信用的原则，经充分协商，就甲方向乙方购买以下货物达成如下协议：</w:t>
      </w:r>
      <w:bookmarkEnd w:id="120"/>
      <w:bookmarkStart w:id="123" w:name="_Toc427506724"/>
    </w:p>
    <w:bookmarkEnd w:id="123"/>
    <w:p>
      <w:pPr>
        <w:spacing w:line="360" w:lineRule="auto"/>
        <w:ind w:firstLine="480" w:firstLineChars="200"/>
        <w:jc w:val="left"/>
        <w:rPr>
          <w:rFonts w:ascii="宋体" w:hAnsi="宋体" w:eastAsia="宋体" w:cs="宋体"/>
          <w:color w:val="auto"/>
          <w:sz w:val="24"/>
          <w:highlight w:val="none"/>
        </w:rPr>
      </w:pPr>
      <w:bookmarkStart w:id="124" w:name="_Toc427506727"/>
      <w:bookmarkStart w:id="125" w:name="_Toc11245979"/>
      <w:r>
        <w:rPr>
          <w:rFonts w:hint="eastAsia" w:ascii="宋体" w:hAnsi="宋体" w:eastAsia="宋体" w:cs="宋体"/>
          <w:color w:val="auto"/>
          <w:sz w:val="24"/>
          <w:highlight w:val="none"/>
        </w:rPr>
        <w:t>1.合同标的及金额</w:t>
      </w:r>
      <w:bookmarkEnd w:id="124"/>
      <w:bookmarkEnd w:id="125"/>
    </w:p>
    <w:p>
      <w:pPr>
        <w:spacing w:line="360" w:lineRule="auto"/>
        <w:ind w:firstLine="480" w:firstLineChars="200"/>
        <w:jc w:val="left"/>
        <w:rPr>
          <w:rFonts w:ascii="宋体" w:hAnsi="宋体" w:eastAsia="宋体" w:cs="宋体"/>
          <w:color w:val="auto"/>
          <w:sz w:val="24"/>
          <w:highlight w:val="none"/>
        </w:rPr>
      </w:pPr>
      <w:bookmarkStart w:id="126" w:name="_Toc11245980"/>
      <w:r>
        <w:rPr>
          <w:rFonts w:hint="eastAsia" w:ascii="宋体" w:hAnsi="宋体" w:eastAsia="宋体" w:cs="宋体"/>
          <w:color w:val="auto"/>
          <w:sz w:val="24"/>
          <w:highlight w:val="none"/>
        </w:rPr>
        <w:t>1.1乙方为履行本合同而发生的所有费用均应包含在合同价款中，包含</w:t>
      </w:r>
      <w:r>
        <w:rPr>
          <w:rFonts w:hint="eastAsia" w:asciiTheme="minorEastAsia" w:hAnsiTheme="minorEastAsia" w:cstheme="minorEastAsia"/>
          <w:color w:val="auto"/>
          <w:sz w:val="24"/>
          <w:highlight w:val="none"/>
        </w:rPr>
        <w:t>包括但不仅限于供货、入库、验收、售后服务、税费及采购项目相关所有费用的总和</w:t>
      </w:r>
      <w:r>
        <w:rPr>
          <w:rFonts w:hint="eastAsia" w:ascii="宋体" w:hAnsi="宋体" w:eastAsia="宋体" w:cs="宋体"/>
          <w:color w:val="auto"/>
          <w:sz w:val="24"/>
          <w:highlight w:val="none"/>
        </w:rPr>
        <w:t>，政策性文件规定费用以及在交付合法有效使用过程中的一切不可预见费用，甲方不再另行支付其它任何费用，合同标的及金额应与成交结果一致。</w:t>
      </w:r>
      <w:bookmarkEnd w:id="126"/>
    </w:p>
    <w:p>
      <w:pPr>
        <w:spacing w:line="360" w:lineRule="auto"/>
        <w:ind w:firstLine="480" w:firstLineChars="200"/>
        <w:jc w:val="left"/>
        <w:rPr>
          <w:rFonts w:ascii="宋体" w:hAnsi="宋体" w:eastAsia="宋体" w:cs="宋体"/>
          <w:color w:val="auto"/>
          <w:sz w:val="24"/>
          <w:highlight w:val="none"/>
        </w:rPr>
      </w:pPr>
      <w:bookmarkStart w:id="127" w:name="_Toc11245981"/>
      <w:r>
        <w:rPr>
          <w:rFonts w:hint="eastAsia" w:ascii="宋体" w:hAnsi="宋体" w:eastAsia="宋体" w:cs="宋体"/>
          <w:color w:val="auto"/>
          <w:sz w:val="24"/>
          <w:highlight w:val="none"/>
        </w:rPr>
        <w:t>1.2本合同的合同价为人民币：¥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元），具体内容如下：</w:t>
      </w:r>
      <w:bookmarkEnd w:id="127"/>
    </w:p>
    <w:tbl>
      <w:tblPr>
        <w:tblStyle w:val="26"/>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574"/>
        <w:gridCol w:w="1919"/>
        <w:gridCol w:w="1779"/>
        <w:gridCol w:w="161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96" w:type="dxa"/>
            <w:vAlign w:val="center"/>
          </w:tcPr>
          <w:p>
            <w:pPr>
              <w:spacing w:line="360" w:lineRule="auto"/>
              <w:ind w:firstLine="240" w:firstLineChars="100"/>
              <w:jc w:val="center"/>
              <w:rPr>
                <w:rFonts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54"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具体要求</w:t>
            </w:r>
          </w:p>
        </w:tc>
        <w:tc>
          <w:tcPr>
            <w:tcW w:w="1811"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643"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1516" w:type="dxa"/>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spacing w:line="276" w:lineRule="auto"/>
              <w:rPr>
                <w:rFonts w:ascii="宋体" w:hAnsi="宋体" w:eastAsia="宋体" w:cs="宋体"/>
                <w:color w:val="auto"/>
                <w:sz w:val="24"/>
                <w:highlight w:val="none"/>
              </w:rPr>
            </w:pPr>
          </w:p>
        </w:tc>
        <w:tc>
          <w:tcPr>
            <w:tcW w:w="1596" w:type="dxa"/>
          </w:tcPr>
          <w:p>
            <w:pPr>
              <w:spacing w:line="276" w:lineRule="auto"/>
              <w:rPr>
                <w:rFonts w:ascii="宋体" w:hAnsi="宋体" w:eastAsia="宋体" w:cs="宋体"/>
                <w:color w:val="auto"/>
                <w:sz w:val="24"/>
                <w:highlight w:val="none"/>
              </w:rPr>
            </w:pPr>
          </w:p>
        </w:tc>
        <w:tc>
          <w:tcPr>
            <w:tcW w:w="1954" w:type="dxa"/>
          </w:tcPr>
          <w:p>
            <w:pPr>
              <w:spacing w:line="276" w:lineRule="auto"/>
              <w:rPr>
                <w:rFonts w:ascii="宋体" w:hAnsi="宋体" w:eastAsia="宋体" w:cs="宋体"/>
                <w:color w:val="auto"/>
                <w:sz w:val="24"/>
                <w:highlight w:val="none"/>
              </w:rPr>
            </w:pPr>
          </w:p>
        </w:tc>
        <w:tc>
          <w:tcPr>
            <w:tcW w:w="1811" w:type="dxa"/>
          </w:tcPr>
          <w:p>
            <w:pPr>
              <w:spacing w:line="276" w:lineRule="auto"/>
              <w:rPr>
                <w:rFonts w:ascii="宋体" w:hAnsi="宋体" w:eastAsia="宋体" w:cs="宋体"/>
                <w:color w:val="auto"/>
                <w:sz w:val="24"/>
                <w:highlight w:val="none"/>
              </w:rPr>
            </w:pPr>
          </w:p>
        </w:tc>
        <w:tc>
          <w:tcPr>
            <w:tcW w:w="1643" w:type="dxa"/>
          </w:tcPr>
          <w:p>
            <w:pPr>
              <w:spacing w:line="276" w:lineRule="auto"/>
              <w:rPr>
                <w:rFonts w:ascii="宋体" w:hAnsi="宋体" w:eastAsia="宋体" w:cs="宋体"/>
                <w:color w:val="auto"/>
                <w:sz w:val="24"/>
                <w:highlight w:val="none"/>
              </w:rPr>
            </w:pPr>
          </w:p>
        </w:tc>
        <w:tc>
          <w:tcPr>
            <w:tcW w:w="1516" w:type="dxa"/>
          </w:tcPr>
          <w:p>
            <w:pPr>
              <w:spacing w:line="276" w:lineRule="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spacing w:line="276" w:lineRule="auto"/>
              <w:rPr>
                <w:rFonts w:ascii="宋体" w:hAnsi="宋体" w:eastAsia="宋体" w:cs="宋体"/>
                <w:color w:val="auto"/>
                <w:sz w:val="24"/>
                <w:highlight w:val="none"/>
              </w:rPr>
            </w:pPr>
          </w:p>
        </w:tc>
        <w:tc>
          <w:tcPr>
            <w:tcW w:w="1596" w:type="dxa"/>
          </w:tcPr>
          <w:p>
            <w:pPr>
              <w:spacing w:line="276" w:lineRule="auto"/>
              <w:rPr>
                <w:rFonts w:ascii="宋体" w:hAnsi="宋体" w:eastAsia="宋体" w:cs="宋体"/>
                <w:color w:val="auto"/>
                <w:sz w:val="24"/>
                <w:highlight w:val="none"/>
              </w:rPr>
            </w:pPr>
          </w:p>
        </w:tc>
        <w:tc>
          <w:tcPr>
            <w:tcW w:w="1954" w:type="dxa"/>
          </w:tcPr>
          <w:p>
            <w:pPr>
              <w:spacing w:line="276" w:lineRule="auto"/>
              <w:rPr>
                <w:rFonts w:ascii="宋体" w:hAnsi="宋体" w:eastAsia="宋体" w:cs="宋体"/>
                <w:color w:val="auto"/>
                <w:sz w:val="24"/>
                <w:highlight w:val="none"/>
              </w:rPr>
            </w:pPr>
          </w:p>
        </w:tc>
        <w:tc>
          <w:tcPr>
            <w:tcW w:w="1811" w:type="dxa"/>
          </w:tcPr>
          <w:p>
            <w:pPr>
              <w:spacing w:line="276" w:lineRule="auto"/>
              <w:rPr>
                <w:rFonts w:ascii="宋体" w:hAnsi="宋体" w:eastAsia="宋体" w:cs="宋体"/>
                <w:color w:val="auto"/>
                <w:sz w:val="24"/>
                <w:highlight w:val="none"/>
              </w:rPr>
            </w:pPr>
          </w:p>
        </w:tc>
        <w:tc>
          <w:tcPr>
            <w:tcW w:w="1643" w:type="dxa"/>
          </w:tcPr>
          <w:p>
            <w:pPr>
              <w:spacing w:line="276" w:lineRule="auto"/>
              <w:rPr>
                <w:rFonts w:ascii="宋体" w:hAnsi="宋体" w:eastAsia="宋体" w:cs="宋体"/>
                <w:color w:val="auto"/>
                <w:sz w:val="24"/>
                <w:highlight w:val="none"/>
              </w:rPr>
            </w:pPr>
          </w:p>
        </w:tc>
        <w:tc>
          <w:tcPr>
            <w:tcW w:w="1516" w:type="dxa"/>
          </w:tcPr>
          <w:p>
            <w:pPr>
              <w:spacing w:line="276" w:lineRule="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spacing w:line="276" w:lineRule="auto"/>
              <w:rPr>
                <w:rFonts w:ascii="宋体" w:hAnsi="宋体" w:eastAsia="宋体" w:cs="宋体"/>
                <w:color w:val="auto"/>
                <w:sz w:val="24"/>
                <w:highlight w:val="none"/>
              </w:rPr>
            </w:pPr>
          </w:p>
        </w:tc>
        <w:tc>
          <w:tcPr>
            <w:tcW w:w="1596" w:type="dxa"/>
          </w:tcPr>
          <w:p>
            <w:pPr>
              <w:spacing w:line="276" w:lineRule="auto"/>
              <w:rPr>
                <w:rFonts w:ascii="宋体" w:hAnsi="宋体" w:eastAsia="宋体" w:cs="宋体"/>
                <w:color w:val="auto"/>
                <w:sz w:val="24"/>
                <w:highlight w:val="none"/>
              </w:rPr>
            </w:pPr>
          </w:p>
        </w:tc>
        <w:tc>
          <w:tcPr>
            <w:tcW w:w="1954" w:type="dxa"/>
          </w:tcPr>
          <w:p>
            <w:pPr>
              <w:spacing w:line="276" w:lineRule="auto"/>
              <w:rPr>
                <w:rFonts w:ascii="宋体" w:hAnsi="宋体" w:eastAsia="宋体" w:cs="宋体"/>
                <w:color w:val="auto"/>
                <w:sz w:val="24"/>
                <w:highlight w:val="none"/>
              </w:rPr>
            </w:pPr>
          </w:p>
        </w:tc>
        <w:tc>
          <w:tcPr>
            <w:tcW w:w="1811" w:type="dxa"/>
          </w:tcPr>
          <w:p>
            <w:pPr>
              <w:spacing w:line="276" w:lineRule="auto"/>
              <w:rPr>
                <w:rFonts w:ascii="宋体" w:hAnsi="宋体" w:eastAsia="宋体" w:cs="宋体"/>
                <w:color w:val="auto"/>
                <w:sz w:val="24"/>
                <w:highlight w:val="none"/>
              </w:rPr>
            </w:pPr>
          </w:p>
        </w:tc>
        <w:tc>
          <w:tcPr>
            <w:tcW w:w="1643" w:type="dxa"/>
          </w:tcPr>
          <w:p>
            <w:pPr>
              <w:spacing w:line="276" w:lineRule="auto"/>
              <w:rPr>
                <w:rFonts w:ascii="宋体" w:hAnsi="宋体" w:eastAsia="宋体" w:cs="宋体"/>
                <w:color w:val="auto"/>
                <w:sz w:val="24"/>
                <w:highlight w:val="none"/>
              </w:rPr>
            </w:pPr>
          </w:p>
        </w:tc>
        <w:tc>
          <w:tcPr>
            <w:tcW w:w="1516" w:type="dxa"/>
          </w:tcPr>
          <w:p>
            <w:pPr>
              <w:spacing w:line="276" w:lineRule="auto"/>
              <w:rPr>
                <w:rFonts w:ascii="宋体" w:hAnsi="宋体" w:eastAsia="宋体" w:cs="宋体"/>
                <w:color w:val="auto"/>
                <w:sz w:val="24"/>
                <w:highlight w:val="none"/>
              </w:rPr>
            </w:pPr>
          </w:p>
        </w:tc>
      </w:tr>
    </w:tbl>
    <w:p>
      <w:pPr>
        <w:spacing w:line="360" w:lineRule="auto"/>
        <w:ind w:firstLine="480" w:firstLineChars="200"/>
        <w:jc w:val="left"/>
        <w:rPr>
          <w:rFonts w:ascii="宋体" w:hAnsi="宋体" w:eastAsia="宋体" w:cs="宋体"/>
          <w:color w:val="auto"/>
          <w:sz w:val="24"/>
          <w:highlight w:val="none"/>
        </w:rPr>
      </w:pPr>
      <w:bookmarkStart w:id="128" w:name="_Toc11245995"/>
      <w:bookmarkStart w:id="129" w:name="_Toc427506728"/>
      <w:r>
        <w:rPr>
          <w:rFonts w:hint="eastAsia" w:ascii="宋体" w:hAnsi="宋体" w:eastAsia="宋体" w:cs="宋体"/>
          <w:color w:val="auto"/>
          <w:sz w:val="24"/>
          <w:highlight w:val="none"/>
        </w:rPr>
        <w:t>履行合同的时间、地点</w:t>
      </w:r>
      <w:bookmarkEnd w:id="128"/>
      <w:bookmarkEnd w:id="129"/>
      <w:bookmarkStart w:id="130" w:name="_Toc11245996"/>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2.1 合同履行期限：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bookmarkEnd w:id="130"/>
    </w:p>
    <w:p>
      <w:pPr>
        <w:spacing w:line="360" w:lineRule="auto"/>
        <w:ind w:firstLine="480" w:firstLineChars="200"/>
        <w:jc w:val="left"/>
        <w:rPr>
          <w:rFonts w:ascii="宋体" w:hAnsi="宋体" w:eastAsia="宋体" w:cs="宋体"/>
          <w:color w:val="auto"/>
          <w:sz w:val="24"/>
          <w:highlight w:val="none"/>
        </w:rPr>
      </w:pPr>
      <w:bookmarkStart w:id="131" w:name="_Toc11245997"/>
      <w:r>
        <w:rPr>
          <w:rFonts w:hint="eastAsia" w:ascii="宋体" w:hAnsi="宋体" w:eastAsia="宋体" w:cs="宋体"/>
          <w:color w:val="auto"/>
          <w:sz w:val="24"/>
          <w:highlight w:val="none"/>
        </w:rPr>
        <w:t>2.2 交货地点：</w:t>
      </w:r>
      <w:bookmarkEnd w:id="131"/>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ind w:firstLine="480" w:firstLineChars="200"/>
        <w:jc w:val="left"/>
        <w:rPr>
          <w:rFonts w:ascii="宋体" w:hAnsi="宋体" w:eastAsia="宋体" w:cs="宋体"/>
          <w:color w:val="auto"/>
          <w:sz w:val="24"/>
          <w:highlight w:val="none"/>
        </w:rPr>
      </w:pPr>
      <w:bookmarkStart w:id="132" w:name="_Toc11245998"/>
      <w:bookmarkStart w:id="133" w:name="_Toc427506729"/>
      <w:r>
        <w:rPr>
          <w:rFonts w:hint="eastAsia" w:ascii="宋体" w:hAnsi="宋体" w:eastAsia="宋体" w:cs="宋体"/>
          <w:color w:val="auto"/>
          <w:sz w:val="24"/>
          <w:highlight w:val="none"/>
        </w:rPr>
        <w:t>3.配送及验收验收</w:t>
      </w:r>
      <w:bookmarkEnd w:id="132"/>
      <w:bookmarkEnd w:id="133"/>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3.1乙方在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月期间根据采购人需求的数量和要求配送。乙方按照学校上报的品种和数量在规定的时间内配送到楚雄医药高等专科学校辖属地点（以采购人指定地点为准）。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乙方必须按甲方按要求时间配送到学校，同时提供匹配的质量检验报告，由甲方负责采购工作的教师现场验收，并认真做好食品（食材）入库台账记录，当批次食品（食材）的质量检验报告交由甲方保存。同时，乙方监督甲方将送达的食品（食材）按要求留样保存，留样时间必须保证48小时。</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3.4乙方如果没有在规定时间内配送到指定地点，给甲方造成的一切损失将由乙方承担。累计次数达到3次的，甲方没收合同履约保证金并解除供货合同。</w:t>
      </w:r>
    </w:p>
    <w:p>
      <w:pPr>
        <w:spacing w:line="360" w:lineRule="auto"/>
        <w:ind w:firstLine="480" w:firstLineChars="200"/>
        <w:jc w:val="left"/>
        <w:rPr>
          <w:rFonts w:ascii="宋体" w:hAnsi="宋体" w:eastAsia="宋体" w:cs="宋体"/>
          <w:color w:val="auto"/>
          <w:sz w:val="24"/>
          <w:highlight w:val="none"/>
        </w:rPr>
      </w:pPr>
      <w:bookmarkStart w:id="134" w:name="_Toc427506730"/>
      <w:bookmarkStart w:id="135" w:name="_Toc11246006"/>
      <w:r>
        <w:rPr>
          <w:rFonts w:hint="eastAsia" w:ascii="宋体" w:hAnsi="宋体" w:eastAsia="宋体" w:cs="宋体"/>
          <w:color w:val="auto"/>
          <w:sz w:val="24"/>
          <w:highlight w:val="none"/>
        </w:rPr>
        <w:t>4.包装要求</w:t>
      </w:r>
      <w:bookmarkEnd w:id="134"/>
      <w:bookmarkEnd w:id="135"/>
      <w:bookmarkStart w:id="136" w:name="_Toc11246007"/>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4.1配送的食品（食材）须按类分别包装装箱，不得混装，包装须符合国家相关要求和采购人要求。且包装箱（袋、桶）上注明品名、产地（品牌）、数量、生产日期、保质期、食品生产许可信息等相关信息。</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4.2乙方所提供的食品（食材）均应按标准要求做好保护措施，包装应适应于远距离运输、防潮、防水、防腐、防虫和防野蛮装卸等要求，以确保食品（食材）完好无损地运抵指定校点。由于包装防护措施不妥而引起的损坏、丢失由乙方负责。</w:t>
      </w:r>
      <w:bookmarkEnd w:id="136"/>
    </w:p>
    <w:p>
      <w:pPr>
        <w:spacing w:line="360" w:lineRule="auto"/>
        <w:ind w:firstLine="480" w:firstLineChars="200"/>
        <w:jc w:val="left"/>
        <w:rPr>
          <w:rFonts w:ascii="宋体" w:hAnsi="宋体" w:eastAsia="宋体" w:cs="宋体"/>
          <w:color w:val="auto"/>
          <w:sz w:val="24"/>
          <w:highlight w:val="none"/>
        </w:rPr>
      </w:pPr>
      <w:bookmarkStart w:id="137" w:name="_Toc11246008"/>
      <w:r>
        <w:rPr>
          <w:rFonts w:hint="eastAsia" w:ascii="宋体" w:hAnsi="宋体" w:eastAsia="宋体" w:cs="宋体"/>
          <w:color w:val="auto"/>
          <w:sz w:val="24"/>
          <w:highlight w:val="none"/>
        </w:rPr>
        <w:t>4.3每一个包装箱内应附一份详细装箱单和合格证书。</w:t>
      </w:r>
      <w:bookmarkEnd w:id="137"/>
    </w:p>
    <w:p>
      <w:pPr>
        <w:spacing w:line="360" w:lineRule="auto"/>
        <w:ind w:firstLine="480" w:firstLineChars="200"/>
        <w:jc w:val="left"/>
        <w:rPr>
          <w:rFonts w:ascii="宋体" w:hAnsi="宋体" w:eastAsia="宋体" w:cs="宋体"/>
          <w:color w:val="auto"/>
          <w:sz w:val="24"/>
          <w:highlight w:val="none"/>
        </w:rPr>
      </w:pPr>
      <w:bookmarkStart w:id="138" w:name="_Toc11246016"/>
      <w:bookmarkStart w:id="139" w:name="_Toc427506733"/>
      <w:r>
        <w:rPr>
          <w:rFonts w:hint="eastAsia" w:ascii="宋体" w:hAnsi="宋体" w:eastAsia="宋体" w:cs="宋体"/>
          <w:color w:val="auto"/>
          <w:sz w:val="24"/>
          <w:highlight w:val="none"/>
        </w:rPr>
        <w:t>5质量标准</w:t>
      </w:r>
      <w:bookmarkEnd w:id="138"/>
      <w:bookmarkEnd w:id="139"/>
    </w:p>
    <w:p>
      <w:pPr>
        <w:spacing w:line="360" w:lineRule="auto"/>
        <w:ind w:firstLine="480" w:firstLineChars="200"/>
        <w:jc w:val="left"/>
        <w:rPr>
          <w:rFonts w:ascii="宋体" w:hAnsi="宋体" w:eastAsia="宋体" w:cs="宋体"/>
          <w:color w:val="auto"/>
          <w:sz w:val="24"/>
          <w:highlight w:val="none"/>
        </w:rPr>
      </w:pPr>
      <w:bookmarkStart w:id="140" w:name="_Toc11246017"/>
      <w:r>
        <w:rPr>
          <w:rFonts w:hint="eastAsia" w:ascii="宋体" w:hAnsi="宋体" w:eastAsia="宋体" w:cs="宋体"/>
          <w:color w:val="auto"/>
          <w:sz w:val="24"/>
          <w:highlight w:val="none"/>
        </w:rPr>
        <w:t xml:space="preserve">5.1 </w:t>
      </w:r>
      <w:bookmarkEnd w:id="140"/>
      <w:bookmarkStart w:id="141" w:name="_Toc11246018"/>
      <w:r>
        <w:rPr>
          <w:rFonts w:hint="eastAsia" w:ascii="宋体" w:hAnsi="宋体" w:eastAsia="宋体" w:cs="宋体"/>
          <w:color w:val="auto"/>
          <w:sz w:val="24"/>
          <w:highlight w:val="none"/>
        </w:rPr>
        <w:t>本合同下交付的食品（食材）应符合采购文件中采购需求所述的标准。如果没有提及适用标准，则应符合中华人民共和国有关部门发布的标准。</w:t>
      </w:r>
      <w:bookmarkEnd w:id="141"/>
    </w:p>
    <w:p>
      <w:pPr>
        <w:spacing w:line="360" w:lineRule="auto"/>
        <w:ind w:firstLine="480" w:firstLineChars="200"/>
        <w:jc w:val="left"/>
        <w:rPr>
          <w:rFonts w:ascii="宋体" w:hAnsi="宋体" w:eastAsia="宋体" w:cs="宋体"/>
          <w:color w:val="auto"/>
          <w:sz w:val="24"/>
          <w:highlight w:val="none"/>
        </w:rPr>
      </w:pPr>
      <w:bookmarkStart w:id="142" w:name="_Toc11246019"/>
      <w:r>
        <w:rPr>
          <w:rFonts w:hint="eastAsia" w:ascii="宋体" w:hAnsi="宋体" w:eastAsia="宋体" w:cs="宋体"/>
          <w:color w:val="auto"/>
          <w:sz w:val="24"/>
          <w:highlight w:val="none"/>
        </w:rPr>
        <w:t>5.2采用中华人民共和国法定计量单位。</w:t>
      </w:r>
      <w:bookmarkEnd w:id="142"/>
    </w:p>
    <w:p>
      <w:pPr>
        <w:spacing w:line="360" w:lineRule="auto"/>
        <w:ind w:firstLine="480" w:firstLineChars="200"/>
        <w:jc w:val="left"/>
        <w:rPr>
          <w:rFonts w:ascii="宋体" w:hAnsi="宋体" w:eastAsia="宋体" w:cs="宋体"/>
          <w:color w:val="auto"/>
          <w:sz w:val="24"/>
          <w:highlight w:val="none"/>
        </w:rPr>
      </w:pPr>
      <w:bookmarkStart w:id="143" w:name="_Toc11246020"/>
      <w:r>
        <w:rPr>
          <w:rFonts w:hint="eastAsia" w:ascii="宋体" w:hAnsi="宋体" w:eastAsia="宋体" w:cs="宋体"/>
          <w:color w:val="auto"/>
          <w:sz w:val="24"/>
          <w:highlight w:val="none"/>
        </w:rPr>
        <w:t>5.3乙方所供的食品（食材）还应符合国家有关安全、环保、卫生之规定。</w:t>
      </w:r>
      <w:bookmarkEnd w:id="143"/>
    </w:p>
    <w:p>
      <w:pPr>
        <w:spacing w:line="360" w:lineRule="auto"/>
        <w:ind w:firstLine="480" w:firstLineChars="200"/>
        <w:jc w:val="left"/>
        <w:rPr>
          <w:rFonts w:ascii="宋体" w:hAnsi="宋体" w:eastAsia="宋体" w:cs="宋体"/>
          <w:color w:val="auto"/>
          <w:sz w:val="24"/>
          <w:highlight w:val="none"/>
        </w:rPr>
      </w:pPr>
      <w:bookmarkStart w:id="144" w:name="_Toc11246022"/>
      <w:r>
        <w:rPr>
          <w:rFonts w:hint="eastAsia" w:ascii="宋体" w:hAnsi="宋体" w:eastAsia="宋体" w:cs="宋体"/>
          <w:color w:val="auto"/>
          <w:sz w:val="24"/>
          <w:highlight w:val="none"/>
        </w:rPr>
        <w:t xml:space="preserve">5.4其他补充要求：                                                          </w:t>
      </w:r>
    </w:p>
    <w:bookmarkEnd w:id="144"/>
    <w:p>
      <w:pPr>
        <w:spacing w:line="360" w:lineRule="auto"/>
        <w:ind w:firstLine="480" w:firstLineChars="200"/>
        <w:jc w:val="left"/>
        <w:rPr>
          <w:rFonts w:ascii="宋体" w:hAnsi="宋体" w:eastAsia="宋体" w:cs="宋体"/>
          <w:color w:val="auto"/>
          <w:sz w:val="24"/>
          <w:highlight w:val="none"/>
        </w:rPr>
      </w:pPr>
      <w:bookmarkStart w:id="145" w:name="_Toc427506737"/>
      <w:bookmarkStart w:id="146" w:name="_Toc11246035"/>
      <w:r>
        <w:rPr>
          <w:rFonts w:hint="eastAsia" w:ascii="宋体" w:hAnsi="宋体" w:eastAsia="宋体" w:cs="宋体"/>
          <w:color w:val="auto"/>
          <w:sz w:val="24"/>
          <w:highlight w:val="none"/>
        </w:rPr>
        <w:t>6.款项支付</w:t>
      </w:r>
      <w:bookmarkEnd w:id="145"/>
      <w:bookmarkEnd w:id="146"/>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6.1签订本合同协议书前，乙方须按采购文件要求向甲方提交履约保证金，合同期满后，没有违约行为或未产生赔偿责任，履约保证金不计息如数退还乙方。</w:t>
      </w:r>
    </w:p>
    <w:p>
      <w:pPr>
        <w:spacing w:line="360" w:lineRule="auto"/>
        <w:ind w:firstLine="480" w:firstLineChars="200"/>
        <w:jc w:val="left"/>
        <w:rPr>
          <w:rFonts w:ascii="宋体" w:hAnsi="宋体" w:eastAsia="宋体" w:cs="宋体"/>
          <w:color w:val="auto"/>
          <w:sz w:val="24"/>
          <w:highlight w:val="none"/>
        </w:rPr>
      </w:pPr>
      <w:bookmarkStart w:id="147" w:name="_Toc11246037"/>
      <w:r>
        <w:rPr>
          <w:rFonts w:hint="eastAsia" w:ascii="宋体" w:hAnsi="宋体" w:eastAsia="宋体" w:cs="宋体"/>
          <w:color w:val="auto"/>
          <w:sz w:val="24"/>
          <w:highlight w:val="none"/>
        </w:rPr>
        <w:t>6.2甲方在支付乙方合同款项时，乙方必须按法律要求提供等额正规合法的税务票据。</w:t>
      </w:r>
      <w:bookmarkEnd w:id="147"/>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6.3第一个月由乙方垫付，甲方不付预付款，一个月为一个结账付款周期，甲方从供货的第二个月开始支付货款；支付方法为：上月货款在次月15日以前按照开具的正式发票进行转账或电汇方式支付，甲方不得以现金方式付款；依次类推，在每学期末供最后一次货时结算并支付清楚所有货款，如遇特殊情况，双方自行协商解决。</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7.争议解决</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7.1本合同未尽事宜由甲乙双方共同协商解决，可签订补充合同，补充合同与主合同具有同等的法律效力。</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7.2甲乙双方在履行合同过程中发生纠纷，应及时向有关管理部门反映，以便相关部门进行协调或处理；也可以直接向合同签订地仲裁机构仲裁。</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其他约定</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8.1其他补充事项：                                                         </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8.2本合同一式七份，甲乙双方各执三份，采购代理公司执一份。</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8.3本合同自签订之日起生效。</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8.4本合同不可分割之部分：</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（1）比选文件；（2）中标人的比选申请文件；（3）中标通知书。</w:t>
      </w:r>
      <w:bookmarkEnd w:id="121"/>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甲方：（单位盖章）                  乙方：（单位盖章） </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                法定代表人（签字）：           </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地址：                              地址：           </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电话：                              电话：                  </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签订日期：     年     月   日</w:t>
      </w:r>
    </w:p>
    <w:p>
      <w:pPr>
        <w:spacing w:after="200" w:line="360" w:lineRule="auto"/>
        <w:ind w:firstLine="480" w:firstLineChars="200"/>
        <w:jc w:val="left"/>
        <w:rPr>
          <w:rFonts w:ascii="宋体" w:hAnsi="宋体" w:eastAsia="宋体" w:cs="宋体"/>
          <w:color w:val="auto"/>
          <w:sz w:val="24"/>
          <w:highlight w:val="none"/>
        </w:rPr>
      </w:pPr>
    </w:p>
    <w:p>
      <w:pPr>
        <w:pStyle w:val="2"/>
        <w:ind w:firstLine="480"/>
        <w:rPr>
          <w:rFonts w:ascii="宋体" w:hAnsi="宋体" w:cs="宋体"/>
          <w:color w:val="auto"/>
          <w:sz w:val="24"/>
          <w:szCs w:val="24"/>
          <w:highlight w:val="none"/>
        </w:rPr>
      </w:pPr>
    </w:p>
    <w:p>
      <w:pPr>
        <w:rPr>
          <w:color w:val="auto"/>
          <w:highlight w:val="none"/>
        </w:rPr>
        <w:sectPr>
          <w:pgSz w:w="11906" w:h="16838"/>
          <w:pgMar w:top="1418" w:right="1134" w:bottom="1134" w:left="1417" w:header="936" w:footer="720" w:gutter="0"/>
          <w:cols w:space="720" w:num="1"/>
          <w:docGrid w:linePitch="331" w:charSpace="0"/>
        </w:sectPr>
      </w:pPr>
    </w:p>
    <w:p>
      <w:pPr>
        <w:adjustRightInd w:val="0"/>
        <w:snapToGrid w:val="0"/>
        <w:spacing w:beforeLines="50" w:line="360" w:lineRule="auto"/>
        <w:rPr>
          <w:rFonts w:ascii="宋体" w:hAnsi="宋体" w:eastAsia="宋体" w:cs="宋体"/>
          <w:color w:val="auto"/>
          <w:szCs w:val="21"/>
          <w:highlight w:val="none"/>
        </w:rPr>
      </w:pPr>
    </w:p>
    <w:p>
      <w:pPr>
        <w:pStyle w:val="4"/>
        <w:jc w:val="center"/>
        <w:rPr>
          <w:rFonts w:ascii="宋体" w:hAnsi="宋体" w:cs="Times New Roman"/>
          <w:color w:val="auto"/>
          <w:szCs w:val="44"/>
          <w:highlight w:val="none"/>
        </w:rPr>
      </w:pPr>
      <w:bookmarkStart w:id="148" w:name="_Toc6355"/>
      <w:r>
        <w:rPr>
          <w:rFonts w:ascii="Times New Roman" w:hAnsi="Times New Roman" w:cs="Times New Roman"/>
          <w:color w:val="auto"/>
          <w:highlight w:val="none"/>
        </w:rPr>
        <w:t xml:space="preserve">第四章  </w:t>
      </w:r>
      <w:bookmarkEnd w:id="113"/>
      <w:bookmarkEnd w:id="114"/>
      <w:bookmarkEnd w:id="115"/>
      <w:bookmarkEnd w:id="116"/>
      <w:bookmarkStart w:id="149" w:name="_Toc30986_WPSOffice_Level3"/>
      <w:bookmarkStart w:id="150" w:name="_Toc17533_WPSOffice_Level2"/>
      <w:r>
        <w:rPr>
          <w:rFonts w:hint="eastAsia" w:ascii="Times New Roman" w:hAnsi="Times New Roman" w:cs="Times New Roman"/>
          <w:color w:val="auto"/>
          <w:highlight w:val="none"/>
        </w:rPr>
        <w:t>比选申请文件格式</w:t>
      </w:r>
      <w:bookmarkEnd w:id="148"/>
    </w:p>
    <w:p>
      <w:pPr>
        <w:jc w:val="center"/>
        <w:rPr>
          <w:rFonts w:ascii="宋体" w:hAnsi="宋体" w:cs="Times New Roman"/>
          <w:b/>
          <w:color w:val="auto"/>
          <w:sz w:val="44"/>
          <w:szCs w:val="44"/>
          <w:highlight w:val="none"/>
        </w:rPr>
      </w:pPr>
    </w:p>
    <w:p>
      <w:pPr>
        <w:spacing w:line="360" w:lineRule="auto"/>
        <w:jc w:val="center"/>
        <w:rPr>
          <w:rFonts w:ascii="宋体" w:hAnsi="宋体" w:eastAsia="宋体" w:cs="宋体"/>
          <w:color w:val="auto"/>
          <w:sz w:val="32"/>
          <w:szCs w:val="32"/>
          <w:highlight w:val="none"/>
        </w:rPr>
      </w:pPr>
      <w:r>
        <w:rPr>
          <w:rFonts w:hint="eastAsia" w:ascii="Times New Roman" w:hAnsi="Times New Roman" w:eastAsia="宋体" w:cs="Times New Roman"/>
          <w:b/>
          <w:bCs/>
          <w:color w:val="auto"/>
          <w:kern w:val="0"/>
          <w:sz w:val="44"/>
          <w:szCs w:val="44"/>
          <w:highlight w:val="none"/>
        </w:rPr>
        <w:t>楚雄医药高等专科学校食堂大宗食材定点供应商采购项目</w:t>
      </w:r>
    </w:p>
    <w:p>
      <w:pPr>
        <w:jc w:val="center"/>
        <w:rPr>
          <w:b/>
          <w:bCs/>
          <w:color w:val="auto"/>
          <w:sz w:val="36"/>
          <w:szCs w:val="36"/>
          <w:highlight w:val="none"/>
        </w:rPr>
      </w:pPr>
    </w:p>
    <w:p>
      <w:pPr>
        <w:jc w:val="center"/>
        <w:rPr>
          <w:b/>
          <w:bCs/>
          <w:color w:val="auto"/>
          <w:sz w:val="36"/>
          <w:szCs w:val="36"/>
          <w:highlight w:val="none"/>
        </w:rPr>
      </w:pPr>
    </w:p>
    <w:p>
      <w:pPr>
        <w:jc w:val="center"/>
        <w:rPr>
          <w:b/>
          <w:bCs/>
          <w:color w:val="auto"/>
          <w:sz w:val="36"/>
          <w:szCs w:val="36"/>
          <w:highlight w:val="none"/>
        </w:rPr>
      </w:pPr>
    </w:p>
    <w:bookmarkEnd w:id="149"/>
    <w:bookmarkEnd w:id="150"/>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r>
        <w:rPr>
          <w:rFonts w:hint="eastAsia" w:ascii="宋体" w:hAnsi="宋体" w:eastAsia="宋体" w:cs="宋体"/>
          <w:b/>
          <w:color w:val="auto"/>
          <w:sz w:val="84"/>
          <w:szCs w:val="84"/>
          <w:highlight w:val="none"/>
        </w:rPr>
        <w:t>比选申请文件</w:t>
      </w:r>
    </w:p>
    <w:p>
      <w:pPr>
        <w:spacing w:line="360" w:lineRule="auto"/>
        <w:ind w:firstLine="3058" w:firstLineChars="1088"/>
        <w:rPr>
          <w:rFonts w:ascii="宋体" w:hAnsi="宋体" w:eastAsia="宋体" w:cs="宋体"/>
          <w:b/>
          <w:color w:val="auto"/>
          <w:sz w:val="28"/>
          <w:szCs w:val="28"/>
          <w:highlight w:val="none"/>
          <w:u w:val="single"/>
        </w:rPr>
      </w:pPr>
      <w:bookmarkStart w:id="151" w:name="_Toc25325_WPSOffice_Level3"/>
      <w:r>
        <w:rPr>
          <w:rFonts w:ascii="Times New Roman" w:hAnsi="Times New Roman" w:eastAsia="宋体" w:cs="Times New Roman"/>
          <w:b/>
          <w:color w:val="auto"/>
          <w:sz w:val="28"/>
          <w:szCs w:val="28"/>
          <w:highlight w:val="none"/>
        </w:rPr>
        <w:t>项目编号：</w:t>
      </w:r>
      <w:bookmarkEnd w:id="151"/>
      <w:r>
        <w:rPr>
          <w:rFonts w:ascii="Times New Roman" w:hAnsi="Times New Roman" w:eastAsia="宋体" w:cs="Times New Roman"/>
          <w:b/>
          <w:color w:val="auto"/>
          <w:sz w:val="28"/>
          <w:szCs w:val="28"/>
          <w:highlight w:val="none"/>
        </w:rPr>
        <w:t>CXYZC【202</w:t>
      </w:r>
      <w:r>
        <w:rPr>
          <w:rFonts w:hint="eastAsia" w:ascii="Times New Roman" w:hAnsi="Times New Roman" w:eastAsia="宋体" w:cs="Times New Roman"/>
          <w:b/>
          <w:color w:val="auto"/>
          <w:sz w:val="28"/>
          <w:szCs w:val="28"/>
          <w:highlight w:val="none"/>
        </w:rPr>
        <w:t>3</w:t>
      </w:r>
      <w:r>
        <w:rPr>
          <w:rFonts w:ascii="Times New Roman" w:hAnsi="Times New Roman" w:eastAsia="宋体" w:cs="Times New Roman"/>
          <w:b/>
          <w:color w:val="auto"/>
          <w:sz w:val="28"/>
          <w:szCs w:val="28"/>
          <w:highlight w:val="none"/>
        </w:rPr>
        <w:t>】第</w:t>
      </w:r>
      <w:r>
        <w:rPr>
          <w:rFonts w:hint="eastAsia" w:ascii="Times New Roman" w:hAnsi="Times New Roman" w:eastAsia="宋体" w:cs="Times New Roman"/>
          <w:b/>
          <w:color w:val="auto"/>
          <w:sz w:val="28"/>
          <w:szCs w:val="28"/>
          <w:highlight w:val="none"/>
          <w:lang w:val="en-US" w:eastAsia="zh-CN"/>
        </w:rPr>
        <w:t>2</w:t>
      </w:r>
      <w:r>
        <w:rPr>
          <w:rFonts w:ascii="Times New Roman" w:hAnsi="Times New Roman" w:eastAsia="宋体" w:cs="Times New Roman"/>
          <w:b/>
          <w:color w:val="auto"/>
          <w:sz w:val="28"/>
          <w:szCs w:val="28"/>
          <w:highlight w:val="none"/>
        </w:rPr>
        <w:t>号</w:t>
      </w: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ind w:firstLine="1500" w:firstLineChars="500"/>
        <w:rPr>
          <w:rFonts w:ascii="宋体" w:hAnsi="宋体" w:cs="宋体-18030"/>
          <w:color w:val="auto"/>
          <w:kern w:val="0"/>
          <w:sz w:val="30"/>
          <w:szCs w:val="30"/>
          <w:highlight w:val="none"/>
        </w:rPr>
      </w:pPr>
      <w:r>
        <w:rPr>
          <w:rFonts w:hint="eastAsia" w:ascii="宋体" w:hAnsi="宋体" w:cs="宋体-18030"/>
          <w:color w:val="auto"/>
          <w:kern w:val="0"/>
          <w:sz w:val="30"/>
          <w:szCs w:val="30"/>
          <w:highlight w:val="none"/>
        </w:rPr>
        <w:t xml:space="preserve">比选申请人（公章）：                              </w:t>
      </w:r>
    </w:p>
    <w:p>
      <w:pPr>
        <w:spacing w:line="360" w:lineRule="auto"/>
        <w:ind w:firstLine="1500" w:firstLineChars="500"/>
        <w:rPr>
          <w:rFonts w:ascii="宋体" w:hAnsi="宋体" w:cs="宋体-18030"/>
          <w:color w:val="auto"/>
          <w:kern w:val="0"/>
          <w:sz w:val="30"/>
          <w:szCs w:val="30"/>
          <w:highlight w:val="none"/>
        </w:rPr>
      </w:pPr>
      <w:r>
        <w:rPr>
          <w:rFonts w:hint="eastAsia" w:ascii="宋体" w:hAnsi="宋体" w:cs="宋体-18030"/>
          <w:color w:val="auto"/>
          <w:kern w:val="0"/>
          <w:sz w:val="30"/>
          <w:szCs w:val="30"/>
          <w:highlight w:val="none"/>
        </w:rPr>
        <w:t xml:space="preserve">法定代表人或委托代理人（签字或盖章）：            </w:t>
      </w:r>
    </w:p>
    <w:p>
      <w:pPr>
        <w:spacing w:line="360" w:lineRule="auto"/>
        <w:ind w:firstLine="1500" w:firstLineChars="500"/>
        <w:rPr>
          <w:rFonts w:ascii="宋体" w:hAnsi="宋体" w:eastAsia="宋体" w:cs="宋体"/>
          <w:color w:val="auto"/>
          <w:sz w:val="24"/>
          <w:highlight w:val="none"/>
        </w:rPr>
      </w:pPr>
      <w:r>
        <w:rPr>
          <w:rFonts w:hint="eastAsia" w:ascii="宋体" w:hAnsi="宋体" w:cs="宋体-18030"/>
          <w:color w:val="auto"/>
          <w:kern w:val="0"/>
          <w:sz w:val="30"/>
          <w:szCs w:val="30"/>
          <w:highlight w:val="none"/>
        </w:rPr>
        <w:t>日期：      年     月     日</w:t>
      </w:r>
    </w:p>
    <w:p>
      <w:pPr>
        <w:spacing w:line="360" w:lineRule="auto"/>
        <w:ind w:firstLine="1980" w:firstLineChars="825"/>
        <w:jc w:val="center"/>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sectPr>
          <w:pgSz w:w="11906" w:h="16838"/>
          <w:pgMar w:top="1418" w:right="1134" w:bottom="1134" w:left="1417" w:header="936" w:footer="720" w:gutter="0"/>
          <w:cols w:space="720" w:num="1"/>
          <w:docGrid w:linePitch="331" w:charSpace="0"/>
        </w:sectPr>
      </w:pPr>
      <w:bookmarkStart w:id="152" w:name="_Toc396"/>
    </w:p>
    <w:p>
      <w:pPr>
        <w:pStyle w:val="5"/>
        <w:jc w:val="center"/>
        <w:rPr>
          <w:rFonts w:ascii="Times New Roman" w:hAnsi="Times New Roman" w:eastAsia="宋体" w:cs="Times New Roman"/>
          <w:color w:val="auto"/>
          <w:highlight w:val="none"/>
        </w:rPr>
      </w:pPr>
      <w:bookmarkStart w:id="153" w:name="_Toc32058"/>
      <w:bookmarkStart w:id="154" w:name="_Toc60996687"/>
      <w:r>
        <w:rPr>
          <w:rFonts w:ascii="Times New Roman" w:hAnsi="Times New Roman" w:eastAsia="宋体" w:cs="Times New Roman"/>
          <w:color w:val="auto"/>
          <w:highlight w:val="none"/>
        </w:rPr>
        <w:t xml:space="preserve">4.1 </w:t>
      </w:r>
      <w:bookmarkStart w:id="155" w:name="_Toc52318216"/>
      <w:bookmarkStart w:id="156" w:name="_Toc417843441"/>
      <w:bookmarkStart w:id="157" w:name="_Toc420071241"/>
      <w:bookmarkStart w:id="158" w:name="_Toc417843490"/>
      <w:bookmarkStart w:id="159" w:name="_Toc427339187"/>
      <w:r>
        <w:rPr>
          <w:rFonts w:hint="eastAsia" w:ascii="Times New Roman" w:hAnsi="Times New Roman" w:eastAsia="宋体" w:cs="Times New Roman"/>
          <w:color w:val="auto"/>
          <w:highlight w:val="none"/>
        </w:rPr>
        <w:t>报价一览表</w:t>
      </w:r>
      <w:bookmarkEnd w:id="153"/>
      <w:bookmarkEnd w:id="155"/>
    </w:p>
    <w:bookmarkEnd w:id="152"/>
    <w:bookmarkEnd w:id="154"/>
    <w:bookmarkEnd w:id="156"/>
    <w:bookmarkEnd w:id="157"/>
    <w:bookmarkEnd w:id="158"/>
    <w:bookmarkEnd w:id="159"/>
    <w:p>
      <w:pPr>
        <w:spacing w:line="400" w:lineRule="exact"/>
        <w:rPr>
          <w:rFonts w:ascii="Times New Roman" w:hAnsi="Times New Roman" w:eastAsia="宋体" w:cs="Times New Roman"/>
          <w:color w:val="auto"/>
          <w:sz w:val="24"/>
          <w:highlight w:val="none"/>
        </w:rPr>
      </w:pPr>
      <w:bookmarkStart w:id="160" w:name="_Toc347849252"/>
      <w:bookmarkStart w:id="161" w:name="_Toc427339186"/>
      <w:bookmarkStart w:id="162" w:name="_Toc417843440"/>
      <w:bookmarkStart w:id="163" w:name="_Toc417843489"/>
      <w:bookmarkStart w:id="164" w:name="_Toc420071240"/>
    </w:p>
    <w:p>
      <w:pPr>
        <w:spacing w:after="200"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项目名称：</w:t>
      </w:r>
    </w:p>
    <w:p>
      <w:pPr>
        <w:spacing w:after="200"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项目编号：</w:t>
      </w:r>
    </w:p>
    <w:tbl>
      <w:tblPr>
        <w:tblStyle w:val="25"/>
        <w:tblW w:w="9487"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2155"/>
        <w:gridCol w:w="1782"/>
        <w:gridCol w:w="187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829" w:type="dxa"/>
            <w:vAlign w:val="center"/>
          </w:tcPr>
          <w:p>
            <w:pPr>
              <w:spacing w:after="20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比选报价</w:t>
            </w:r>
          </w:p>
          <w:p>
            <w:pPr>
              <w:spacing w:after="20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（下浮率 ）</w:t>
            </w:r>
          </w:p>
        </w:tc>
        <w:tc>
          <w:tcPr>
            <w:tcW w:w="2155" w:type="dxa"/>
            <w:vAlign w:val="center"/>
          </w:tcPr>
          <w:p>
            <w:pPr>
              <w:spacing w:after="200" w:line="360" w:lineRule="auto"/>
              <w:jc w:val="center"/>
              <w:rPr>
                <w:rFonts w:asciiTheme="minorEastAsia" w:hAnsiTheme="minorEastAsia" w:cstheme="minorEastAsia"/>
                <w:color w:val="auto"/>
                <w:sz w:val="24"/>
                <w:highlight w:val="none"/>
              </w:rPr>
            </w:pPr>
            <w:r>
              <w:rPr>
                <w:rFonts w:hint="eastAsia" w:ascii="Calibri" w:hAnsi="Calibri" w:eastAsia="宋体" w:cs="Times New Roman"/>
                <w:color w:val="auto"/>
                <w:sz w:val="24"/>
                <w:szCs w:val="20"/>
                <w:highlight w:val="none"/>
                <w:lang w:val="en-US" w:eastAsia="zh-CN"/>
              </w:rPr>
              <w:t>比选</w:t>
            </w:r>
            <w:r>
              <w:rPr>
                <w:rFonts w:hint="eastAsia" w:ascii="Calibri" w:hAnsi="Calibri" w:eastAsia="宋体" w:cs="Times New Roman"/>
                <w:color w:val="auto"/>
                <w:sz w:val="24"/>
                <w:szCs w:val="20"/>
                <w:highlight w:val="none"/>
              </w:rPr>
              <w:t>保证金（元）</w:t>
            </w:r>
          </w:p>
        </w:tc>
        <w:tc>
          <w:tcPr>
            <w:tcW w:w="1782" w:type="dxa"/>
            <w:vAlign w:val="center"/>
          </w:tcPr>
          <w:p>
            <w:pPr>
              <w:spacing w:after="20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合同履行期限</w:t>
            </w:r>
          </w:p>
        </w:tc>
        <w:tc>
          <w:tcPr>
            <w:tcW w:w="1875" w:type="dxa"/>
            <w:vAlign w:val="center"/>
          </w:tcPr>
          <w:p>
            <w:pPr>
              <w:spacing w:after="20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交货时间、地点、方式</w:t>
            </w:r>
          </w:p>
        </w:tc>
        <w:tc>
          <w:tcPr>
            <w:tcW w:w="1846" w:type="dxa"/>
            <w:vAlign w:val="center"/>
          </w:tcPr>
          <w:p>
            <w:pPr>
              <w:spacing w:after="20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829" w:type="dxa"/>
            <w:vAlign w:val="center"/>
          </w:tcPr>
          <w:p>
            <w:pPr>
              <w:spacing w:after="200"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p>
        </w:tc>
        <w:tc>
          <w:tcPr>
            <w:tcW w:w="2155" w:type="dxa"/>
            <w:vAlign w:val="center"/>
          </w:tcPr>
          <w:p>
            <w:pPr>
              <w:spacing w:after="200" w:line="360" w:lineRule="auto"/>
              <w:jc w:val="left"/>
              <w:rPr>
                <w:rFonts w:asciiTheme="minorEastAsia" w:hAnsiTheme="minorEastAsia" w:cstheme="minorEastAsia"/>
                <w:color w:val="auto"/>
                <w:sz w:val="24"/>
                <w:highlight w:val="none"/>
              </w:rPr>
            </w:pPr>
          </w:p>
        </w:tc>
        <w:tc>
          <w:tcPr>
            <w:tcW w:w="1782" w:type="dxa"/>
            <w:vAlign w:val="center"/>
          </w:tcPr>
          <w:p>
            <w:pPr>
              <w:spacing w:after="200" w:line="360" w:lineRule="auto"/>
              <w:rPr>
                <w:rFonts w:asciiTheme="minorEastAsia" w:hAnsiTheme="minorEastAsia" w:cstheme="minorEastAsia"/>
                <w:color w:val="auto"/>
                <w:sz w:val="24"/>
                <w:highlight w:val="none"/>
              </w:rPr>
            </w:pPr>
          </w:p>
        </w:tc>
        <w:tc>
          <w:tcPr>
            <w:tcW w:w="1875" w:type="dxa"/>
            <w:vAlign w:val="center"/>
          </w:tcPr>
          <w:p>
            <w:pPr>
              <w:spacing w:after="200" w:line="360" w:lineRule="auto"/>
              <w:rPr>
                <w:rFonts w:asciiTheme="minorEastAsia" w:hAnsiTheme="minorEastAsia" w:cstheme="minorEastAsia"/>
                <w:color w:val="auto"/>
                <w:sz w:val="24"/>
                <w:highlight w:val="none"/>
              </w:rPr>
            </w:pPr>
          </w:p>
        </w:tc>
        <w:tc>
          <w:tcPr>
            <w:tcW w:w="1846" w:type="dxa"/>
            <w:vAlign w:val="center"/>
          </w:tcPr>
          <w:p>
            <w:pPr>
              <w:spacing w:after="200"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487" w:type="dxa"/>
            <w:gridSpan w:val="5"/>
            <w:vAlign w:val="center"/>
          </w:tcPr>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spacing w:after="200" w:line="360" w:lineRule="auto"/>
              <w:rPr>
                <w:rFonts w:asciiTheme="minorEastAsia" w:hAnsiTheme="minorEastAsia" w:cstheme="minorEastAsia"/>
                <w:color w:val="auto"/>
                <w:sz w:val="24"/>
                <w:highlight w:val="none"/>
              </w:rPr>
            </w:pPr>
            <w:r>
              <w:rPr>
                <w:rFonts w:hint="eastAsia" w:ascii="Times New Roman" w:hAnsi="Times New Roman" w:eastAsia="宋体" w:cs="Times New Roman"/>
                <w:color w:val="auto"/>
                <w:sz w:val="24"/>
                <w:highlight w:val="none"/>
              </w:rPr>
              <w:t>日  期：</w:t>
            </w:r>
          </w:p>
        </w:tc>
      </w:tr>
    </w:tbl>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注：1.表中“比选申请报价”应与4.2 比选申请书中“比选申请报价””一致。</w:t>
      </w:r>
    </w:p>
    <w:p>
      <w:pPr>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2.此表应放于比选申请文件封面后第一页。</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p>
    <w:p>
      <w:pPr>
        <w:pStyle w:val="24"/>
        <w:ind w:firstLine="560"/>
        <w:rPr>
          <w:color w:val="auto"/>
          <w:highlight w:val="none"/>
        </w:rPr>
        <w:sectPr>
          <w:pgSz w:w="11906" w:h="16838"/>
          <w:pgMar w:top="1418" w:right="1134" w:bottom="1134" w:left="1417" w:header="936" w:footer="720" w:gutter="0"/>
          <w:cols w:space="720" w:num="1"/>
          <w:docGrid w:linePitch="331" w:charSpace="0"/>
        </w:sectPr>
      </w:pPr>
    </w:p>
    <w:bookmarkEnd w:id="160"/>
    <w:bookmarkEnd w:id="161"/>
    <w:bookmarkEnd w:id="162"/>
    <w:bookmarkEnd w:id="163"/>
    <w:bookmarkEnd w:id="164"/>
    <w:p>
      <w:pPr>
        <w:pStyle w:val="5"/>
        <w:jc w:val="center"/>
        <w:rPr>
          <w:rFonts w:ascii="Times New Roman" w:hAnsi="Times New Roman" w:eastAsia="宋体" w:cs="Times New Roman"/>
          <w:color w:val="auto"/>
          <w:highlight w:val="none"/>
        </w:rPr>
      </w:pPr>
      <w:bookmarkStart w:id="165" w:name="_Toc17491"/>
      <w:r>
        <w:rPr>
          <w:rFonts w:ascii="Times New Roman" w:hAnsi="Times New Roman" w:eastAsia="宋体" w:cs="Times New Roman"/>
          <w:color w:val="auto"/>
          <w:highlight w:val="none"/>
        </w:rPr>
        <w:t xml:space="preserve">4.2 </w:t>
      </w:r>
      <w:bookmarkStart w:id="166" w:name="_Toc52318217"/>
      <w:r>
        <w:rPr>
          <w:rFonts w:hint="eastAsia" w:ascii="Times New Roman" w:hAnsi="Times New Roman" w:eastAsia="宋体" w:cs="Times New Roman"/>
          <w:color w:val="auto"/>
          <w:highlight w:val="none"/>
        </w:rPr>
        <w:t>比选申请书</w:t>
      </w:r>
      <w:bookmarkEnd w:id="165"/>
      <w:bookmarkEnd w:id="166"/>
    </w:p>
    <w:p>
      <w:pPr>
        <w:spacing w:line="460" w:lineRule="exac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致：楚雄医药高等专科学校</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我方仔细研究了项目比选文件的全部内容，我单位（公司）决定参加本次比选，经提交比选申请文件。</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其中：</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一、提交资格证明文件，包括以下文件：</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（1）公司资质证照复印件；</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（2）法定代表人证件复印件（或法定代表人授权书原件）；</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二、提交的比选申请书包括以下文件：</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（1）比选申请报价；</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（2）具体方案；</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（3）服务承诺、其它承诺；</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（4）其他资料（如获奖证书、用户评价等）</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我单位（或公司）同意和确认以下事项：</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1、本次方案比选申请文件的比选申请报价为：</w:t>
      </w:r>
      <w:r>
        <w:rPr>
          <w:rFonts w:hint="eastAsia" w:asciiTheme="minorEastAsia" w:hAnsiTheme="minorEastAsia" w:cstheme="minorEastAsia"/>
          <w:color w:val="auto"/>
          <w:sz w:val="24"/>
          <w:highlight w:val="none"/>
        </w:rPr>
        <w:t>下浮率</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imes New Roman" w:hAnsi="Times New Roman" w:eastAsia="宋体" w:cs="Times New Roman"/>
          <w:color w:val="auto"/>
          <w:sz w:val="24"/>
          <w:highlight w:val="none"/>
        </w:rPr>
        <w:t>；</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2、遵守比选文件的各项条款及有关规定；</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3、向贵方提供与比选项有关的数据、情况和资料是真实有效的；</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4、如我方比选条款被接受，我方将按比选文件的规定履行合同责任和义务。</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5、我方理解，最高报价不是中选唯一条件。</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6、如果我方比选条款被接受，则至合同履行完成为止，本比选申请书保持有效。</w:t>
      </w:r>
    </w:p>
    <w:p>
      <w:pPr>
        <w:spacing w:line="460" w:lineRule="exact"/>
        <w:ind w:firstLine="480" w:firstLineChars="200"/>
        <w:rPr>
          <w:rFonts w:ascii="Times New Roman" w:hAnsi="Times New Roman" w:eastAsia="宋体" w:cs="Times New Roman"/>
          <w:color w:val="auto"/>
          <w:sz w:val="24"/>
          <w:highlight w:val="none"/>
        </w:rPr>
      </w:pPr>
    </w:p>
    <w:p>
      <w:pPr>
        <w:spacing w:line="460" w:lineRule="exact"/>
        <w:ind w:firstLine="480" w:firstLineChars="200"/>
        <w:rPr>
          <w:rFonts w:ascii="Times New Roman" w:hAnsi="Times New Roman" w:eastAsia="宋体" w:cs="Times New Roman"/>
          <w:color w:val="auto"/>
          <w:sz w:val="24"/>
          <w:highlight w:val="none"/>
        </w:rPr>
      </w:pP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比选申请人全称（加盖公章）：</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地  址：                                           电  话：</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邮  编：                                           传  真：</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法定代表人或委托代理人（签字）：                   日  期：</w:t>
      </w:r>
    </w:p>
    <w:p>
      <w:pPr>
        <w:pStyle w:val="10"/>
        <w:ind w:firstLine="0" w:firstLineChars="0"/>
        <w:rPr>
          <w:rFonts w:ascii="宋体" w:hAnsi="宋体" w:eastAsia="宋体" w:cs="宋体"/>
          <w:color w:val="auto"/>
          <w:sz w:val="24"/>
          <w:highlight w:val="none"/>
        </w:rPr>
      </w:pPr>
    </w:p>
    <w:p>
      <w:pPr>
        <w:pStyle w:val="10"/>
        <w:ind w:firstLine="0" w:firstLineChars="0"/>
        <w:rPr>
          <w:rFonts w:ascii="宋体" w:hAnsi="宋体" w:eastAsia="宋体" w:cs="宋体"/>
          <w:color w:val="auto"/>
          <w:sz w:val="24"/>
          <w:highlight w:val="none"/>
        </w:rPr>
      </w:pPr>
    </w:p>
    <w:p>
      <w:pPr>
        <w:pStyle w:val="10"/>
        <w:ind w:firstLine="0" w:firstLineChars="0"/>
        <w:rPr>
          <w:rFonts w:ascii="宋体" w:hAnsi="宋体" w:eastAsia="宋体" w:cs="宋体"/>
          <w:color w:val="auto"/>
          <w:sz w:val="24"/>
          <w:highlight w:val="none"/>
        </w:rPr>
      </w:pPr>
    </w:p>
    <w:p>
      <w:pPr>
        <w:spacing w:line="400" w:lineRule="exact"/>
        <w:rPr>
          <w:rFonts w:ascii="宋体" w:hAnsi="宋体" w:eastAsia="宋体" w:cs="宋体"/>
          <w:color w:val="auto"/>
          <w:szCs w:val="20"/>
          <w:highlight w:val="none"/>
        </w:rPr>
        <w:sectPr>
          <w:pgSz w:w="11906" w:h="16838"/>
          <w:pgMar w:top="1418" w:right="1134" w:bottom="1134" w:left="1417" w:header="936" w:footer="720" w:gutter="0"/>
          <w:cols w:space="720" w:num="1"/>
          <w:docGrid w:linePitch="331" w:charSpace="0"/>
        </w:sectPr>
      </w:pPr>
    </w:p>
    <w:p>
      <w:pPr>
        <w:pStyle w:val="5"/>
        <w:jc w:val="center"/>
        <w:rPr>
          <w:rFonts w:asciiTheme="minorHAnsi" w:hAnsiTheme="minorHAnsi" w:eastAsiaTheme="minorEastAsia"/>
          <w:color w:val="auto"/>
          <w:highlight w:val="none"/>
        </w:rPr>
      </w:pPr>
      <w:bookmarkStart w:id="167" w:name="_Toc28074"/>
      <w:bookmarkStart w:id="168" w:name="_Toc21368"/>
      <w:bookmarkStart w:id="169" w:name="_Toc27662"/>
      <w:r>
        <w:rPr>
          <w:rFonts w:ascii="Times New Roman" w:hAnsi="Times New Roman" w:cs="Times New Roman"/>
          <w:color w:val="auto"/>
          <w:highlight w:val="none"/>
        </w:rPr>
        <w:t xml:space="preserve">4.3 </w:t>
      </w:r>
      <w:bookmarkEnd w:id="167"/>
      <w:bookmarkEnd w:id="168"/>
      <w:r>
        <w:rPr>
          <w:rFonts w:ascii="Times New Roman" w:hAnsi="Times New Roman" w:cs="Times New Roman"/>
          <w:color w:val="auto"/>
          <w:highlight w:val="none"/>
        </w:rPr>
        <w:t>法定代表人资格证明书</w:t>
      </w:r>
      <w:bookmarkEnd w:id="169"/>
    </w:p>
    <w:p>
      <w:pPr>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法定代表人资格证明书</w:t>
      </w:r>
    </w:p>
    <w:p>
      <w:pPr>
        <w:spacing w:line="360" w:lineRule="auto"/>
        <w:jc w:val="center"/>
        <w:rPr>
          <w:rFonts w:ascii="宋体" w:hAnsi="宋体" w:eastAsia="宋体" w:cs="宋体"/>
          <w:b/>
          <w:color w:val="auto"/>
          <w:sz w:val="30"/>
          <w:szCs w:val="30"/>
          <w:highlight w:val="none"/>
        </w:rPr>
      </w:pPr>
    </w:p>
    <w:p>
      <w:pPr>
        <w:spacing w:line="360" w:lineRule="auto"/>
        <w:rPr>
          <w:rFonts w:ascii="宋体"/>
          <w:color w:val="auto"/>
          <w:sz w:val="24"/>
          <w:highlight w:val="none"/>
        </w:rPr>
      </w:pPr>
      <w:r>
        <w:rPr>
          <w:rFonts w:hint="eastAsia" w:ascii="宋体"/>
          <w:color w:val="auto"/>
          <w:sz w:val="24"/>
          <w:highlight w:val="none"/>
        </w:rPr>
        <w:t>单位名称：</w:t>
      </w:r>
    </w:p>
    <w:p>
      <w:pPr>
        <w:spacing w:line="360" w:lineRule="auto"/>
        <w:rPr>
          <w:rFonts w:ascii="宋体"/>
          <w:color w:val="auto"/>
          <w:sz w:val="24"/>
          <w:highlight w:val="none"/>
        </w:rPr>
      </w:pPr>
      <w:r>
        <w:rPr>
          <w:rFonts w:hint="eastAsia" w:ascii="宋体"/>
          <w:color w:val="auto"/>
          <w:sz w:val="24"/>
          <w:highlight w:val="none"/>
        </w:rPr>
        <w:t>单位性质：</w:t>
      </w:r>
    </w:p>
    <w:p>
      <w:pPr>
        <w:spacing w:line="360" w:lineRule="auto"/>
        <w:rPr>
          <w:rFonts w:ascii="宋体"/>
          <w:color w:val="auto"/>
          <w:sz w:val="24"/>
          <w:highlight w:val="none"/>
        </w:rPr>
      </w:pPr>
      <w:r>
        <w:rPr>
          <w:rFonts w:hint="eastAsia" w:ascii="宋体"/>
          <w:color w:val="auto"/>
          <w:sz w:val="24"/>
          <w:highlight w:val="none"/>
        </w:rPr>
        <w:t>注册资金：</w:t>
      </w:r>
    </w:p>
    <w:p>
      <w:pPr>
        <w:spacing w:line="360" w:lineRule="auto"/>
        <w:rPr>
          <w:rFonts w:ascii="宋体"/>
          <w:color w:val="auto"/>
          <w:sz w:val="24"/>
          <w:highlight w:val="none"/>
        </w:rPr>
      </w:pPr>
      <w:r>
        <w:rPr>
          <w:rFonts w:hint="eastAsia" w:ascii="宋体"/>
          <w:color w:val="auto"/>
          <w:sz w:val="24"/>
          <w:highlight w:val="none"/>
        </w:rPr>
        <w:t>地址：</w:t>
      </w:r>
    </w:p>
    <w:p>
      <w:pPr>
        <w:spacing w:line="360" w:lineRule="auto"/>
        <w:rPr>
          <w:rFonts w:ascii="宋体"/>
          <w:color w:val="auto"/>
          <w:sz w:val="24"/>
          <w:highlight w:val="none"/>
        </w:rPr>
      </w:pPr>
      <w:r>
        <w:rPr>
          <w:rFonts w:hint="eastAsia" w:ascii="宋体"/>
          <w:color w:val="auto"/>
          <w:sz w:val="24"/>
          <w:highlight w:val="none"/>
        </w:rPr>
        <w:t>成立时间：   年   月    日</w:t>
      </w:r>
    </w:p>
    <w:p>
      <w:pPr>
        <w:spacing w:line="360" w:lineRule="auto"/>
        <w:rPr>
          <w:rFonts w:ascii="宋体"/>
          <w:color w:val="auto"/>
          <w:sz w:val="24"/>
          <w:highlight w:val="none"/>
        </w:rPr>
      </w:pPr>
      <w:r>
        <w:rPr>
          <w:rFonts w:hint="eastAsia" w:ascii="宋体"/>
          <w:color w:val="auto"/>
          <w:sz w:val="24"/>
          <w:highlight w:val="none"/>
        </w:rPr>
        <w:t>经营期限：</w:t>
      </w:r>
    </w:p>
    <w:p>
      <w:pPr>
        <w:spacing w:line="360" w:lineRule="auto"/>
        <w:rPr>
          <w:rFonts w:ascii="宋体"/>
          <w:color w:val="auto"/>
          <w:sz w:val="24"/>
          <w:highlight w:val="none"/>
        </w:rPr>
      </w:pPr>
      <w:r>
        <w:rPr>
          <w:rFonts w:hint="eastAsia" w:ascii="宋体"/>
          <w:color w:val="auto"/>
          <w:sz w:val="24"/>
          <w:highlight w:val="none"/>
        </w:rPr>
        <w:t>姓名：      性别：     年龄：      职务：</w:t>
      </w:r>
    </w:p>
    <w:p>
      <w:pPr>
        <w:spacing w:line="360" w:lineRule="auto"/>
        <w:rPr>
          <w:rFonts w:ascii="宋体"/>
          <w:color w:val="auto"/>
          <w:sz w:val="24"/>
          <w:highlight w:val="none"/>
        </w:rPr>
      </w:pPr>
      <w:r>
        <w:rPr>
          <w:rFonts w:hint="eastAsia" w:ascii="宋体"/>
          <w:color w:val="auto"/>
          <w:sz w:val="24"/>
          <w:highlight w:val="none"/>
        </w:rPr>
        <w:t>系           的法定代表人。</w:t>
      </w:r>
    </w:p>
    <w:p>
      <w:pPr>
        <w:spacing w:line="360" w:lineRule="auto"/>
        <w:ind w:firstLine="480" w:firstLineChars="200"/>
        <w:rPr>
          <w:rFonts w:ascii="宋体"/>
          <w:color w:val="auto"/>
          <w:sz w:val="24"/>
          <w:highlight w:val="none"/>
        </w:rPr>
      </w:pPr>
    </w:p>
    <w:p>
      <w:pPr>
        <w:spacing w:line="360" w:lineRule="auto"/>
        <w:ind w:firstLine="480" w:firstLineChars="200"/>
        <w:rPr>
          <w:rFonts w:ascii="宋体" w:hAnsi="宋体" w:eastAsia="宋体" w:cs="宋体"/>
          <w:color w:val="auto"/>
          <w:sz w:val="24"/>
          <w:highlight w:val="none"/>
        </w:rPr>
      </w:pPr>
      <w:r>
        <w:rPr>
          <w:rFonts w:hint="eastAsia" w:ascii="宋体"/>
          <w:color w:val="auto"/>
          <w:sz w:val="24"/>
          <w:highlight w:val="none"/>
        </w:rPr>
        <w:t>特此证明</w:t>
      </w:r>
    </w:p>
    <w:tbl>
      <w:tblPr>
        <w:tblStyle w:val="25"/>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3126" w:hRule="atLeast"/>
        </w:trPr>
        <w:tc>
          <w:tcPr>
            <w:tcW w:w="8528" w:type="dxa"/>
            <w:noWrap/>
            <w:vAlign w:val="center"/>
          </w:tcPr>
          <w:p>
            <w:pPr>
              <w:adjustRightInd w:val="0"/>
              <w:snapToGrid w:val="0"/>
              <w:spacing w:beforeLines="50"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法定代表人有效的身份证复印件</w:t>
            </w:r>
          </w:p>
        </w:tc>
      </w:tr>
    </w:tbl>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法定代表人身份证复印件（正、反面）</w:t>
      </w:r>
    </w:p>
    <w:p>
      <w:pPr>
        <w:spacing w:line="360" w:lineRule="auto"/>
        <w:rPr>
          <w:rFonts w:ascii="宋体" w:hAnsi="宋体" w:eastAsia="宋体" w:cs="宋体"/>
          <w:color w:val="auto"/>
          <w:sz w:val="24"/>
          <w:highlight w:val="none"/>
        </w:rPr>
      </w:pPr>
    </w:p>
    <w:p>
      <w:pPr>
        <w:spacing w:line="360" w:lineRule="auto"/>
        <w:rPr>
          <w:rFonts w:ascii="宋体"/>
          <w:color w:val="auto"/>
          <w:sz w:val="24"/>
          <w:highlight w:val="none"/>
        </w:rPr>
      </w:pPr>
      <w:r>
        <w:rPr>
          <w:rFonts w:hint="eastAsia" w:ascii="宋体"/>
          <w:color w:val="auto"/>
          <w:sz w:val="24"/>
          <w:highlight w:val="none"/>
        </w:rPr>
        <w:t>比选申请人（盖章）：</w:t>
      </w:r>
    </w:p>
    <w:p>
      <w:pPr>
        <w:spacing w:line="360" w:lineRule="auto"/>
        <w:rPr>
          <w:rFonts w:ascii="宋体"/>
          <w:color w:val="auto"/>
          <w:sz w:val="24"/>
          <w:highlight w:val="none"/>
        </w:rPr>
      </w:pPr>
    </w:p>
    <w:p>
      <w:pPr>
        <w:spacing w:line="360" w:lineRule="auto"/>
        <w:rPr>
          <w:rFonts w:ascii="宋体" w:hAnsi="宋体" w:eastAsia="宋体" w:cs="宋体"/>
          <w:color w:val="auto"/>
          <w:szCs w:val="21"/>
          <w:highlight w:val="none"/>
        </w:rPr>
      </w:pPr>
      <w:r>
        <w:rPr>
          <w:rFonts w:hint="eastAsia" w:ascii="宋体"/>
          <w:color w:val="auto"/>
          <w:sz w:val="24"/>
          <w:highlight w:val="none"/>
        </w:rPr>
        <w:t>日期：    年   月   日</w:t>
      </w:r>
    </w:p>
    <w:p>
      <w:pPr>
        <w:spacing w:line="360" w:lineRule="auto"/>
        <w:rPr>
          <w:rFonts w:ascii="宋体" w:hAnsi="宋体" w:eastAsia="宋体" w:cs="宋体"/>
          <w:color w:val="auto"/>
          <w:szCs w:val="21"/>
          <w:highlight w:val="none"/>
        </w:rPr>
        <w:sectPr>
          <w:pgSz w:w="11906" w:h="16838"/>
          <w:pgMar w:top="1440" w:right="1588" w:bottom="1440" w:left="1588" w:header="851" w:footer="992" w:gutter="0"/>
          <w:cols w:space="720" w:num="1"/>
          <w:docGrid w:type="lines" w:linePitch="312" w:charSpace="0"/>
        </w:sectPr>
      </w:pPr>
    </w:p>
    <w:p>
      <w:pPr>
        <w:pStyle w:val="5"/>
        <w:jc w:val="center"/>
        <w:rPr>
          <w:rFonts w:ascii="Times New Roman" w:hAnsi="Times New Roman" w:eastAsia="宋体" w:cs="Times New Roman"/>
          <w:b w:val="0"/>
          <w:color w:val="auto"/>
          <w:highlight w:val="none"/>
        </w:rPr>
      </w:pPr>
      <w:bookmarkStart w:id="170" w:name="_Toc14835"/>
      <w:bookmarkStart w:id="171" w:name="_Toc12280"/>
      <w:r>
        <w:rPr>
          <w:rFonts w:ascii="Times New Roman" w:hAnsi="Times New Roman" w:cs="Times New Roman"/>
          <w:color w:val="auto"/>
          <w:highlight w:val="none"/>
        </w:rPr>
        <w:t>4.4 法定代表人授权委托书</w:t>
      </w:r>
      <w:bookmarkEnd w:id="170"/>
      <w:bookmarkEnd w:id="171"/>
    </w:p>
    <w:p>
      <w:pPr>
        <w:spacing w:line="360" w:lineRule="auto"/>
        <w:jc w:val="center"/>
        <w:rPr>
          <w:rFonts w:ascii="宋体" w:hAnsi="宋体" w:eastAsia="宋体" w:cs="宋体"/>
          <w:b/>
          <w:bCs/>
          <w:color w:val="auto"/>
          <w:sz w:val="28"/>
          <w:szCs w:val="28"/>
          <w:highlight w:val="none"/>
        </w:rPr>
      </w:pPr>
    </w:p>
    <w:p>
      <w:pPr>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法定代表人授权委托书</w:t>
      </w:r>
    </w:p>
    <w:p>
      <w:pPr>
        <w:adjustRightInd w:val="0"/>
        <w:snapToGrid w:val="0"/>
        <w:spacing w:beforeLines="50" w:line="360" w:lineRule="auto"/>
        <w:ind w:firstLine="435"/>
        <w:rPr>
          <w:rFonts w:ascii="宋体"/>
          <w:color w:val="auto"/>
          <w:sz w:val="24"/>
          <w:highlight w:val="none"/>
        </w:rPr>
      </w:pPr>
      <w:r>
        <w:rPr>
          <w:rFonts w:hint="eastAsia" w:ascii="宋体"/>
          <w:color w:val="auto"/>
          <w:sz w:val="24"/>
          <w:highlight w:val="none"/>
        </w:rPr>
        <w:t>本授权委托书声明：我</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（比选申请人名称）的法定代表人，现授权委托</w:t>
      </w:r>
      <w:r>
        <w:rPr>
          <w:rFonts w:hint="eastAsia" w:ascii="宋体"/>
          <w:color w:val="auto"/>
          <w:sz w:val="24"/>
          <w:highlight w:val="none"/>
          <w:u w:val="single"/>
        </w:rPr>
        <w:t xml:space="preserve">                </w:t>
      </w:r>
      <w:r>
        <w:rPr>
          <w:rFonts w:hint="eastAsia" w:ascii="宋体"/>
          <w:color w:val="auto"/>
          <w:sz w:val="24"/>
          <w:highlight w:val="none"/>
        </w:rPr>
        <w:t>（单位名称）的</w:t>
      </w:r>
      <w:r>
        <w:rPr>
          <w:rFonts w:hint="eastAsia" w:ascii="宋体"/>
          <w:color w:val="auto"/>
          <w:sz w:val="24"/>
          <w:highlight w:val="none"/>
          <w:u w:val="single"/>
        </w:rPr>
        <w:t xml:space="preserve">       </w:t>
      </w:r>
      <w:r>
        <w:rPr>
          <w:rFonts w:hint="eastAsia" w:ascii="宋体"/>
          <w:color w:val="auto"/>
          <w:sz w:val="24"/>
          <w:highlight w:val="none"/>
        </w:rPr>
        <w:t>（姓名）为我公司代理人，以公司名义参加</w:t>
      </w:r>
      <w:r>
        <w:rPr>
          <w:rFonts w:hint="eastAsia" w:ascii="宋体"/>
          <w:color w:val="auto"/>
          <w:sz w:val="24"/>
          <w:highlight w:val="none"/>
          <w:u w:val="single"/>
        </w:rPr>
        <w:t xml:space="preserve">                   </w:t>
      </w:r>
      <w:r>
        <w:rPr>
          <w:rFonts w:hint="eastAsia" w:ascii="宋体"/>
          <w:color w:val="auto"/>
          <w:sz w:val="24"/>
          <w:highlight w:val="none"/>
        </w:rPr>
        <w:t>（比选人）的</w:t>
      </w:r>
      <w:r>
        <w:rPr>
          <w:rFonts w:hint="eastAsia" w:ascii="宋体"/>
          <w:color w:val="auto"/>
          <w:sz w:val="24"/>
          <w:highlight w:val="none"/>
          <w:u w:val="single"/>
        </w:rPr>
        <w:t xml:space="preserve">                   </w:t>
      </w:r>
      <w:r>
        <w:rPr>
          <w:rFonts w:hint="eastAsia" w:ascii="宋体"/>
          <w:color w:val="auto"/>
          <w:sz w:val="24"/>
          <w:highlight w:val="none"/>
        </w:rPr>
        <w:t>项目的比选活动。代理人在开标、评标及合同谈判过程中所签署的一切文件和处理与之有关的一切事务，我均予承认。</w:t>
      </w:r>
    </w:p>
    <w:p>
      <w:pPr>
        <w:adjustRightInd w:val="0"/>
        <w:snapToGrid w:val="0"/>
        <w:spacing w:beforeLines="50" w:line="360" w:lineRule="auto"/>
        <w:ind w:firstLine="435"/>
        <w:rPr>
          <w:rFonts w:ascii="宋体"/>
          <w:color w:val="auto"/>
          <w:sz w:val="24"/>
          <w:highlight w:val="none"/>
        </w:rPr>
      </w:pPr>
      <w:r>
        <w:rPr>
          <w:rFonts w:hint="eastAsia" w:ascii="宋体"/>
          <w:color w:val="auto"/>
          <w:sz w:val="24"/>
          <w:highlight w:val="none"/>
        </w:rPr>
        <w:t xml:space="preserve">代理人：                 性别：           年龄：           </w:t>
      </w:r>
    </w:p>
    <w:p>
      <w:pPr>
        <w:adjustRightInd w:val="0"/>
        <w:snapToGrid w:val="0"/>
        <w:spacing w:beforeLines="50" w:line="360" w:lineRule="auto"/>
        <w:ind w:firstLine="435"/>
        <w:rPr>
          <w:rFonts w:ascii="宋体"/>
          <w:color w:val="auto"/>
          <w:sz w:val="24"/>
          <w:highlight w:val="none"/>
        </w:rPr>
      </w:pPr>
      <w:r>
        <w:rPr>
          <w:rFonts w:hint="eastAsia" w:ascii="宋体"/>
          <w:color w:val="auto"/>
          <w:sz w:val="24"/>
          <w:highlight w:val="none"/>
        </w:rPr>
        <w:t xml:space="preserve">部门：                      职务：                 </w:t>
      </w:r>
    </w:p>
    <w:p>
      <w:pPr>
        <w:adjustRightInd w:val="0"/>
        <w:snapToGrid w:val="0"/>
        <w:spacing w:beforeLines="50" w:line="360" w:lineRule="auto"/>
        <w:ind w:firstLine="435"/>
        <w:rPr>
          <w:rFonts w:ascii="宋体"/>
          <w:color w:val="auto"/>
          <w:sz w:val="24"/>
          <w:highlight w:val="none"/>
        </w:rPr>
      </w:pPr>
      <w:r>
        <w:rPr>
          <w:rFonts w:hint="eastAsia" w:ascii="宋体"/>
          <w:color w:val="auto"/>
          <w:sz w:val="24"/>
          <w:highlight w:val="none"/>
        </w:rPr>
        <w:t>代理人无转委权。特此委托。</w:t>
      </w:r>
    </w:p>
    <w:p>
      <w:pPr>
        <w:adjustRightInd w:val="0"/>
        <w:snapToGrid w:val="0"/>
        <w:spacing w:beforeLines="50" w:line="360" w:lineRule="auto"/>
        <w:ind w:firstLine="435"/>
        <w:rPr>
          <w:rFonts w:ascii="宋体" w:hAnsi="宋体" w:eastAsia="宋体" w:cs="宋体"/>
          <w:color w:val="auto"/>
          <w:szCs w:val="21"/>
          <w:highlight w:val="none"/>
        </w:rPr>
      </w:pPr>
      <w:r>
        <w:rPr>
          <w:rFonts w:hint="eastAsia" w:ascii="宋体"/>
          <w:color w:val="auto"/>
          <w:sz w:val="24"/>
          <w:highlight w:val="none"/>
        </w:rPr>
        <w:t>注：附授权委托代理人身份证复印件，如比选申请人由法定代表人亲自签署比选申请文件并参与相关活动，则不需要办理授权。如有被授权的代理人签署上述文件，则必须按本格式规定填报并提交授权书，否则被授权的代理人将不被认可。</w:t>
      </w:r>
    </w:p>
    <w:tbl>
      <w:tblPr>
        <w:tblStyle w:val="25"/>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2996" w:hRule="atLeast"/>
        </w:trPr>
        <w:tc>
          <w:tcPr>
            <w:tcW w:w="8528" w:type="dxa"/>
            <w:noWrap/>
            <w:vAlign w:val="center"/>
          </w:tcPr>
          <w:p>
            <w:pPr>
              <w:adjustRightInd w:val="0"/>
              <w:snapToGrid w:val="0"/>
              <w:spacing w:before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委托代理人有效的身份证复印件</w:t>
            </w:r>
          </w:p>
          <w:p>
            <w:pPr>
              <w:adjustRightInd w:val="0"/>
              <w:snapToGrid w:val="0"/>
              <w:spacing w:beforeLines="50" w:line="360" w:lineRule="auto"/>
              <w:rPr>
                <w:rFonts w:ascii="宋体" w:hAnsi="宋体" w:eastAsia="宋体" w:cs="宋体"/>
                <w:color w:val="auto"/>
                <w:szCs w:val="21"/>
                <w:highlight w:val="none"/>
              </w:rPr>
            </w:pPr>
          </w:p>
        </w:tc>
      </w:tr>
    </w:tbl>
    <w:p>
      <w:pPr>
        <w:pStyle w:val="2"/>
        <w:ind w:firstLine="0" w:firstLineChars="0"/>
        <w:rPr>
          <w:rFonts w:ascii="宋体" w:hAnsi="Times New Roman"/>
          <w:color w:val="auto"/>
          <w:sz w:val="24"/>
          <w:highlight w:val="none"/>
        </w:rPr>
      </w:pPr>
    </w:p>
    <w:p>
      <w:pPr>
        <w:adjustRightInd w:val="0"/>
        <w:snapToGrid w:val="0"/>
        <w:spacing w:beforeLines="50" w:line="360" w:lineRule="auto"/>
        <w:ind w:firstLine="435"/>
        <w:rPr>
          <w:rFonts w:ascii="宋体"/>
          <w:color w:val="auto"/>
          <w:sz w:val="24"/>
          <w:highlight w:val="none"/>
        </w:rPr>
      </w:pPr>
      <w:r>
        <w:rPr>
          <w:rFonts w:hint="eastAsia" w:ascii="宋体"/>
          <w:color w:val="auto"/>
          <w:sz w:val="24"/>
          <w:highlight w:val="none"/>
        </w:rPr>
        <w:t xml:space="preserve">比选申请人（公章）：                                               </w:t>
      </w:r>
    </w:p>
    <w:p>
      <w:pPr>
        <w:adjustRightInd w:val="0"/>
        <w:snapToGrid w:val="0"/>
        <w:spacing w:beforeLines="50" w:line="360" w:lineRule="auto"/>
        <w:ind w:firstLine="435"/>
        <w:rPr>
          <w:rFonts w:ascii="宋体"/>
          <w:color w:val="auto"/>
          <w:sz w:val="24"/>
          <w:highlight w:val="none"/>
        </w:rPr>
      </w:pPr>
      <w:r>
        <w:rPr>
          <w:rFonts w:hint="eastAsia" w:ascii="宋体"/>
          <w:color w:val="auto"/>
          <w:sz w:val="24"/>
          <w:highlight w:val="none"/>
        </w:rPr>
        <w:t xml:space="preserve">法定代表人（签字）：                                     </w:t>
      </w:r>
    </w:p>
    <w:p>
      <w:pPr>
        <w:ind w:firstLine="480" w:firstLineChars="200"/>
        <w:rPr>
          <w:color w:val="auto"/>
          <w:highlight w:val="none"/>
        </w:rPr>
      </w:pPr>
      <w:r>
        <w:rPr>
          <w:rFonts w:hint="eastAsia" w:ascii="宋体"/>
          <w:color w:val="auto"/>
          <w:sz w:val="24"/>
          <w:highlight w:val="none"/>
        </w:rPr>
        <w:t>日期：        年    月    日</w:t>
      </w:r>
    </w:p>
    <w:p>
      <w:pPr>
        <w:pStyle w:val="24"/>
        <w:ind w:firstLine="560"/>
        <w:rPr>
          <w:rFonts w:ascii="Times New Roman" w:hAnsi="Times New Roman" w:eastAsia="宋体" w:cs="Times New Roman"/>
          <w:color w:val="auto"/>
          <w:highlight w:val="none"/>
        </w:rPr>
      </w:pPr>
    </w:p>
    <w:p>
      <w:pPr>
        <w:pStyle w:val="24"/>
        <w:ind w:firstLine="560"/>
        <w:rPr>
          <w:rFonts w:ascii="Times New Roman" w:hAnsi="Times New Roman" w:eastAsia="宋体" w:cs="Times New Roman"/>
          <w:color w:val="auto"/>
          <w:highlight w:val="none"/>
        </w:rPr>
        <w:sectPr>
          <w:pgSz w:w="11906" w:h="16838"/>
          <w:pgMar w:top="1418" w:right="1134" w:bottom="1134" w:left="1417" w:header="936" w:footer="720" w:gutter="0"/>
          <w:cols w:space="720" w:num="1"/>
          <w:docGrid w:linePitch="331" w:charSpace="0"/>
        </w:sectPr>
      </w:pPr>
    </w:p>
    <w:p>
      <w:pPr>
        <w:pStyle w:val="5"/>
        <w:jc w:val="center"/>
        <w:rPr>
          <w:rFonts w:ascii="Times New Roman" w:hAnsi="Times New Roman" w:eastAsia="宋体" w:cs="Times New Roman"/>
          <w:color w:val="auto"/>
          <w:highlight w:val="none"/>
        </w:rPr>
      </w:pPr>
      <w:bookmarkStart w:id="172" w:name="_Toc23641"/>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5</w:t>
      </w:r>
      <w:r>
        <w:rPr>
          <w:rFonts w:ascii="Times New Roman" w:hAnsi="Times New Roman" w:eastAsia="宋体" w:cs="Times New Roman"/>
          <w:color w:val="auto"/>
          <w:highlight w:val="none"/>
        </w:rPr>
        <w:t xml:space="preserve"> </w:t>
      </w:r>
      <w:r>
        <w:rPr>
          <w:rFonts w:ascii="Times New Roman" w:hAnsi="Times New Roman" w:cs="Times New Roman"/>
          <w:color w:val="auto"/>
          <w:highlight w:val="none"/>
        </w:rPr>
        <w:t>资格证明文件</w:t>
      </w:r>
      <w:bookmarkEnd w:id="172"/>
    </w:p>
    <w:p>
      <w:pPr>
        <w:rPr>
          <w:rFonts w:ascii="Times New Roman" w:hAnsi="Times New Roman" w:cs="Times New Roman"/>
          <w:color w:val="auto"/>
          <w:sz w:val="24"/>
          <w:highlight w:val="none"/>
        </w:rPr>
      </w:pPr>
    </w:p>
    <w:p>
      <w:pPr>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hint="eastAsia" w:ascii="Times New Roman" w:hAnsi="Times New Roman" w:cs="Times New Roman"/>
          <w:color w:val="auto"/>
          <w:sz w:val="24"/>
          <w:highlight w:val="none"/>
        </w:rPr>
        <w:t>申请人应</w:t>
      </w:r>
      <w:r>
        <w:rPr>
          <w:rFonts w:ascii="Times New Roman" w:hAnsi="Times New Roman" w:cs="Times New Roman"/>
          <w:color w:val="auto"/>
          <w:sz w:val="24"/>
          <w:highlight w:val="none"/>
        </w:rPr>
        <w:t>具有独立承担民事责任的能力，具备有效的营业执照或事业单位法人证书或其他类似的法定证明文件（若为分公司参与</w:t>
      </w:r>
      <w:r>
        <w:rPr>
          <w:rFonts w:hint="eastAsia" w:ascii="Times New Roman" w:hAnsi="Times New Roman" w:cs="Times New Roman"/>
          <w:color w:val="auto"/>
          <w:sz w:val="24"/>
          <w:highlight w:val="none"/>
        </w:rPr>
        <w:t>比选申请</w:t>
      </w:r>
      <w:r>
        <w:rPr>
          <w:rFonts w:ascii="Times New Roman" w:hAnsi="Times New Roman" w:cs="Times New Roman"/>
          <w:color w:val="auto"/>
          <w:sz w:val="24"/>
          <w:highlight w:val="none"/>
        </w:rPr>
        <w:t>的，需总公司提供对本项目的授权并承担相关法律责任）；</w:t>
      </w:r>
    </w:p>
    <w:p>
      <w:pPr>
        <w:pStyle w:val="31"/>
        <w:rPr>
          <w:rFonts w:ascii="Times New Roman" w:hAnsi="Times New Roman" w:cs="Times New Roman" w:eastAsiaTheme="minorEastAsia"/>
          <w:color w:val="auto"/>
          <w:kern w:val="2"/>
          <w:sz w:val="24"/>
          <w:szCs w:val="24"/>
          <w:highlight w:val="none"/>
          <w:lang w:val="en-US" w:eastAsia="zh-CN" w:bidi="ar-SA"/>
        </w:rPr>
      </w:pPr>
    </w:p>
    <w:p>
      <w:pPr>
        <w:pStyle w:val="31"/>
        <w:rPr>
          <w:rFonts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eastAsiaTheme="minorEastAsia"/>
          <w:color w:val="auto"/>
          <w:kern w:val="2"/>
          <w:sz w:val="24"/>
          <w:szCs w:val="24"/>
          <w:highlight w:val="none"/>
          <w:lang w:val="en-US" w:eastAsia="zh-CN" w:bidi="ar-SA"/>
        </w:rPr>
        <w:t>2、申请人应具有履行合同所必需的设备和专业技术能力（响应人自行说明，格式自拟）；</w:t>
      </w:r>
    </w:p>
    <w:p>
      <w:pPr>
        <w:pStyle w:val="31"/>
        <w:rPr>
          <w:rFonts w:ascii="Times New Roman" w:hAnsi="Times New Roman" w:cs="Times New Roman" w:eastAsiaTheme="minorEastAsia"/>
          <w:color w:val="auto"/>
          <w:kern w:val="2"/>
          <w:sz w:val="24"/>
          <w:szCs w:val="24"/>
          <w:highlight w:val="none"/>
          <w:lang w:val="en-US" w:eastAsia="zh-CN" w:bidi="ar-SA"/>
        </w:rPr>
      </w:pPr>
    </w:p>
    <w:p>
      <w:pPr>
        <w:pStyle w:val="31"/>
        <w:rPr>
          <w:rFonts w:ascii="Times New Roman" w:cs="Times New Roman"/>
          <w:color w:val="auto"/>
          <w:highlight w:val="none"/>
        </w:rPr>
      </w:pPr>
      <w:r>
        <w:rPr>
          <w:rFonts w:hint="eastAsia" w:ascii="Times New Roman" w:hAnsi="Times New Roman" w:cs="Times New Roman" w:eastAsiaTheme="minorEastAsia"/>
          <w:color w:val="auto"/>
          <w:kern w:val="2"/>
          <w:sz w:val="24"/>
          <w:szCs w:val="24"/>
          <w:highlight w:val="none"/>
          <w:lang w:val="en-US" w:eastAsia="zh-CN" w:bidi="ar-SA"/>
        </w:rPr>
        <w:t>3、具有良好的商业信誉和健全的财务会计制度，比选申请人须提供2021年度至今任</w:t>
      </w:r>
      <w:r>
        <w:rPr>
          <w:rFonts w:hint="eastAsia" w:ascii="Times New Roman" w:eastAsia="宋体" w:cs="Times New Roman"/>
          <w:color w:val="auto"/>
          <w:highlight w:val="none"/>
        </w:rPr>
        <w:t>意一个年度的财务状况报告复印件，如资产负债表、现金流量表、利润表和财务情况说明书（2022年以后新成立企业此项不参与考核）。</w:t>
      </w:r>
    </w:p>
    <w:p>
      <w:pPr>
        <w:spacing w:line="360" w:lineRule="auto"/>
        <w:rPr>
          <w:rFonts w:ascii="Times New Roman" w:hAnsi="Times New Roman" w:eastAsia="宋体" w:cs="Times New Roman"/>
          <w:color w:val="auto"/>
          <w:sz w:val="24"/>
          <w:highlight w:val="none"/>
        </w:rPr>
      </w:pPr>
    </w:p>
    <w:p>
      <w:pPr>
        <w:spacing w:line="360" w:lineRule="auto"/>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4、比选申请人</w:t>
      </w:r>
      <w:r>
        <w:rPr>
          <w:rFonts w:hint="eastAsia" w:ascii="Times New Roman" w:eastAsia="宋体" w:cs="Times New Roman"/>
          <w:color w:val="auto"/>
          <w:sz w:val="24"/>
          <w:highlight w:val="none"/>
        </w:rPr>
        <w:t>须提供</w:t>
      </w:r>
      <w:r>
        <w:rPr>
          <w:rFonts w:hint="eastAsia" w:ascii="Times New Roman" w:hAnsi="Times New Roman" w:eastAsia="宋体" w:cs="Times New Roman"/>
          <w:color w:val="auto"/>
          <w:sz w:val="24"/>
          <w:highlight w:val="none"/>
        </w:rPr>
        <w:t>2021年1月至今期间（税款所属时期）任意3个月的税务局税收通用缴款书复印件或银行电子缴税（费）凭证复印件或税务局出具纳税情况的相关证明复印件（2022年以后新成立企业此项不参与考核）。</w:t>
      </w:r>
    </w:p>
    <w:p>
      <w:pPr>
        <w:autoSpaceDE w:val="0"/>
        <w:autoSpaceDN w:val="0"/>
        <w:snapToGrid w:val="0"/>
        <w:spacing w:line="360" w:lineRule="auto"/>
        <w:jc w:val="left"/>
        <w:textAlignment w:val="bottom"/>
        <w:rPr>
          <w:rFonts w:ascii="Times New Roman" w:hAnsi="Times New Roman" w:eastAsia="宋体" w:cs="Times New Roman"/>
          <w:color w:val="auto"/>
          <w:sz w:val="24"/>
          <w:highlight w:val="none"/>
        </w:rPr>
      </w:pPr>
    </w:p>
    <w:p>
      <w:pPr>
        <w:spacing w:line="360" w:lineRule="auto"/>
        <w:rPr>
          <w:rFonts w:ascii="Times New Roman" w:hAnsi="Times New Roman" w:cs="Times New Roman"/>
          <w:color w:val="auto"/>
          <w:sz w:val="24"/>
          <w:highlight w:val="none"/>
        </w:rPr>
      </w:pPr>
      <w:r>
        <w:rPr>
          <w:rFonts w:hint="eastAsia" w:ascii="Times New Roman" w:hAnsi="Times New Roman" w:eastAsia="宋体" w:cs="Times New Roman"/>
          <w:color w:val="auto"/>
          <w:sz w:val="24"/>
          <w:highlight w:val="none"/>
        </w:rPr>
        <w:t>5、</w:t>
      </w:r>
      <w:r>
        <w:rPr>
          <w:rFonts w:hint="eastAsia" w:ascii="Times New Roman" w:hAnsi="Times New Roman" w:eastAsia="宋体" w:cs="Times New Roman"/>
          <w:color w:val="auto"/>
          <w:sz w:val="24"/>
          <w:highlight w:val="none"/>
        </w:rPr>
        <w:t>比选申请人</w:t>
      </w:r>
      <w:r>
        <w:rPr>
          <w:rFonts w:hint="eastAsia" w:ascii="Times New Roman" w:eastAsia="宋体" w:cs="Times New Roman"/>
          <w:color w:val="auto"/>
          <w:sz w:val="24"/>
          <w:highlight w:val="none"/>
        </w:rPr>
        <w:t>须提供</w:t>
      </w:r>
      <w:r>
        <w:rPr>
          <w:rFonts w:hint="eastAsia" w:ascii="Times New Roman" w:hAnsi="Times New Roman" w:eastAsia="宋体" w:cs="Times New Roman"/>
          <w:color w:val="auto"/>
          <w:sz w:val="24"/>
          <w:highlight w:val="none"/>
        </w:rPr>
        <w:t>2021年1月至今期间（费款所属时期）任意3个月的社会保险费缴款书复印件或银行电子缴税（费）凭证复印件或社保管理部门出具的有效的缴款证明复印件（2022年以后新成立企业此项不参与考核）</w:t>
      </w:r>
    </w:p>
    <w:p>
      <w:pPr>
        <w:spacing w:line="360" w:lineRule="auto"/>
        <w:rPr>
          <w:rFonts w:ascii="Times New Roman" w:hAnsi="Times New Roman" w:cs="Times New Roman"/>
          <w:color w:val="auto"/>
          <w:sz w:val="24"/>
          <w:highlight w:val="none"/>
        </w:rPr>
      </w:pPr>
    </w:p>
    <w:p>
      <w:pPr>
        <w:pStyle w:val="31"/>
        <w:rPr>
          <w:rFonts w:ascii="Times New Roman" w:eastAsia="宋体" w:cs="Times New Roman"/>
          <w:color w:val="auto"/>
          <w:highlight w:val="none"/>
        </w:rPr>
      </w:pPr>
      <w:r>
        <w:rPr>
          <w:rFonts w:hint="eastAsia" w:ascii="Times New Roman" w:eastAsia="宋体" w:cs="Times New Roman"/>
          <w:color w:val="auto"/>
          <w:highlight w:val="none"/>
        </w:rPr>
        <w:t>6、供应商在比选申请截止时间前未被列入“信用中国”网站（www.creditchina.gov.cn）失信被执行人、重大税收违法案件当事人名单、政府采购严重违法失信行为记录名单及中国政府采购网（www.ccgp.gov.cn）“政府采购严重违法失信行为信息记录”（提供查询网页截图），且须提供承诺函（格式自拟）并加盖公章。若为失信企业，将取消</w:t>
      </w:r>
      <w:r>
        <w:rPr>
          <w:rFonts w:hint="eastAsia" w:ascii="Times New Roman" w:eastAsia="宋体" w:cs="Times New Roman"/>
          <w:color w:val="auto"/>
          <w:highlight w:val="none"/>
          <w:lang w:val="en-US" w:eastAsia="zh-CN"/>
        </w:rPr>
        <w:t>中选</w:t>
      </w:r>
      <w:r>
        <w:rPr>
          <w:rFonts w:hint="eastAsia" w:ascii="Times New Roman" w:eastAsia="宋体" w:cs="Times New Roman"/>
          <w:color w:val="auto"/>
          <w:highlight w:val="none"/>
        </w:rPr>
        <w:t>资格。</w:t>
      </w:r>
    </w:p>
    <w:p>
      <w:pPr>
        <w:pStyle w:val="31"/>
        <w:rPr>
          <w:rFonts w:ascii="Times New Roman" w:eastAsia="宋体" w:cs="Times New Roman"/>
          <w:color w:val="auto"/>
          <w:highlight w:val="none"/>
        </w:rPr>
      </w:pPr>
    </w:p>
    <w:p>
      <w:pPr>
        <w:pStyle w:val="31"/>
        <w:rPr>
          <w:rFonts w:ascii="Times New Roman" w:eastAsia="宋体" w:cs="Times New Roman"/>
          <w:color w:val="auto"/>
          <w:highlight w:val="none"/>
        </w:rPr>
      </w:pPr>
      <w:r>
        <w:rPr>
          <w:rFonts w:hint="eastAsia" w:ascii="Times New Roman" w:eastAsia="宋体" w:cs="Times New Roman"/>
          <w:color w:val="auto"/>
          <w:highlight w:val="none"/>
        </w:rPr>
        <w:t>参加政府采购活动前3年内在经营活动中没有重大违法记录的书面声明，须提供书面声明并加盖公章；</w:t>
      </w:r>
    </w:p>
    <w:p>
      <w:pPr>
        <w:spacing w:line="360" w:lineRule="auto"/>
        <w:rPr>
          <w:rFonts w:asciiTheme="minorEastAsia" w:hAnsiTheme="minorEastAsia" w:cstheme="minorEastAsia"/>
          <w:color w:val="auto"/>
          <w:sz w:val="24"/>
          <w:highlight w:val="none"/>
        </w:rPr>
      </w:pP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致：</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（采购人名称）：</w:t>
      </w:r>
    </w:p>
    <w:p>
      <w:pPr>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（自行承诺及说明，内容自拟）</w:t>
      </w:r>
    </w:p>
    <w:p>
      <w:pPr>
        <w:spacing w:line="360" w:lineRule="auto"/>
        <w:ind w:right="24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响应人单位名称：</w:t>
      </w:r>
      <w:r>
        <w:rPr>
          <w:rFonts w:hint="eastAsia" w:asciiTheme="minorEastAsia" w:hAnsiTheme="minorEastAsia" w:cstheme="minorEastAsia"/>
          <w:color w:val="auto"/>
          <w:sz w:val="24"/>
          <w:highlight w:val="none"/>
          <w:u w:val="single"/>
        </w:rPr>
        <w:t>___________________________</w:t>
      </w:r>
      <w:r>
        <w:rPr>
          <w:rFonts w:hint="eastAsia" w:asciiTheme="minorEastAsia" w:hAnsiTheme="minorEastAsia" w:cstheme="minorEastAsia"/>
          <w:color w:val="auto"/>
          <w:sz w:val="24"/>
          <w:highlight w:val="none"/>
        </w:rPr>
        <w:t xml:space="preserve">（盖公章） </w:t>
      </w:r>
    </w:p>
    <w:p>
      <w:pPr>
        <w:spacing w:line="360" w:lineRule="auto"/>
        <w:ind w:firstLine="480" w:firstLineChars="200"/>
        <w:jc w:val="righ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法定代表人或其委托代理人：</w:t>
      </w:r>
      <w:r>
        <w:rPr>
          <w:rFonts w:hint="eastAsia" w:asciiTheme="minorEastAsia" w:hAnsiTheme="minorEastAsia" w:cstheme="minorEastAsia"/>
          <w:color w:val="auto"/>
          <w:sz w:val="24"/>
          <w:highlight w:val="none"/>
          <w:u w:val="single"/>
        </w:rPr>
        <w:t>__________</w:t>
      </w:r>
      <w:r>
        <w:rPr>
          <w:rFonts w:hint="eastAsia" w:asciiTheme="minorEastAsia" w:hAnsiTheme="minorEastAsia" w:cstheme="minorEastAsia"/>
          <w:color w:val="auto"/>
          <w:sz w:val="24"/>
          <w:highlight w:val="none"/>
        </w:rPr>
        <w:t xml:space="preserve">（签字或盖章） </w:t>
      </w:r>
    </w:p>
    <w:p>
      <w:pPr>
        <w:spacing w:line="360" w:lineRule="auto"/>
        <w:rPr>
          <w:rFonts w:ascii="Times New Roman" w:hAnsi="Times New Roman" w:cs="Times New Roman"/>
          <w:color w:val="auto"/>
          <w:sz w:val="24"/>
          <w:highlight w:val="none"/>
        </w:rPr>
      </w:pPr>
      <w:r>
        <w:rPr>
          <w:rFonts w:hint="eastAsia" w:asciiTheme="minorEastAsia" w:hAnsiTheme="minorEastAsia" w:cstheme="minorEastAsia"/>
          <w:color w:val="auto"/>
          <w:highlight w:val="none"/>
          <w:u w:val="single"/>
        </w:rPr>
        <w:t>_________</w:t>
      </w:r>
      <w:r>
        <w:rPr>
          <w:rFonts w:hint="eastAsia" w:asciiTheme="minorEastAsia" w:hAnsiTheme="minorEastAsia" w:cstheme="minorEastAsia"/>
          <w:color w:val="auto"/>
          <w:highlight w:val="none"/>
        </w:rPr>
        <w:t>年</w:t>
      </w:r>
      <w:r>
        <w:rPr>
          <w:rFonts w:hint="eastAsia" w:asciiTheme="minorEastAsia" w:hAnsiTheme="minorEastAsia" w:cstheme="minorEastAsia"/>
          <w:color w:val="auto"/>
          <w:highlight w:val="none"/>
          <w:u w:val="single"/>
        </w:rPr>
        <w:t>______</w:t>
      </w:r>
      <w:r>
        <w:rPr>
          <w:rFonts w:hint="eastAsia" w:asciiTheme="minorEastAsia" w:hAnsiTheme="minorEastAsia" w:cstheme="minorEastAsia"/>
          <w:color w:val="auto"/>
          <w:highlight w:val="none"/>
        </w:rPr>
        <w:t>月</w:t>
      </w:r>
      <w:r>
        <w:rPr>
          <w:rFonts w:hint="eastAsia" w:asciiTheme="minorEastAsia" w:hAnsiTheme="minorEastAsia" w:cstheme="minorEastAsia"/>
          <w:color w:val="auto"/>
          <w:highlight w:val="none"/>
          <w:u w:val="single"/>
        </w:rPr>
        <w:t>______</w:t>
      </w:r>
      <w:r>
        <w:rPr>
          <w:rFonts w:hint="eastAsia" w:asciiTheme="minorEastAsia" w:hAnsiTheme="minorEastAsia" w:cstheme="minorEastAsia"/>
          <w:color w:val="auto"/>
          <w:highlight w:val="none"/>
        </w:rPr>
        <w:t>日</w:t>
      </w:r>
    </w:p>
    <w:p>
      <w:pPr>
        <w:spacing w:line="360" w:lineRule="auto"/>
        <w:ind w:firstLine="480" w:firstLineChars="200"/>
        <w:rPr>
          <w:rFonts w:ascii="Times New Roman" w:hAnsi="Times New Roman" w:cs="Times New Roman"/>
          <w:color w:val="auto"/>
          <w:sz w:val="24"/>
          <w:highlight w:val="none"/>
        </w:rPr>
      </w:pPr>
    </w:p>
    <w:p>
      <w:pPr>
        <w:spacing w:line="360" w:lineRule="auto"/>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7、根据本项目的特殊要求规定申请人应具备的特定条件：</w:t>
      </w:r>
      <w:r>
        <w:rPr>
          <w:rFonts w:hint="eastAsia" w:ascii="Times New Roman" w:hAnsi="Times New Roman" w:eastAsia="宋体" w:cs="Times New Roman"/>
          <w:color w:val="auto"/>
          <w:sz w:val="24"/>
          <w:highlight w:val="none"/>
        </w:rPr>
        <w:t>具有有效的《食品流通许可证》或《食品经营许可证》。</w:t>
      </w:r>
    </w:p>
    <w:p>
      <w:pPr>
        <w:spacing w:line="460" w:lineRule="exact"/>
        <w:ind w:firstLine="480" w:firstLineChars="200"/>
        <w:rPr>
          <w:rFonts w:ascii="Times New Roman" w:hAnsi="Times New Roman" w:eastAsia="宋体" w:cs="Times New Roman"/>
          <w:color w:val="auto"/>
          <w:sz w:val="24"/>
          <w:highlight w:val="none"/>
        </w:rPr>
      </w:pPr>
    </w:p>
    <w:p>
      <w:pPr>
        <w:spacing w:line="360" w:lineRule="auto"/>
        <w:ind w:right="240"/>
        <w:rPr>
          <w:rFonts w:asciiTheme="minorEastAsia" w:hAnsiTheme="minorEastAsia" w:cstheme="minorEastAsia"/>
          <w:color w:val="auto"/>
          <w:sz w:val="24"/>
          <w:highlight w:val="none"/>
        </w:rPr>
      </w:pPr>
    </w:p>
    <w:p>
      <w:pPr>
        <w:spacing w:line="360" w:lineRule="auto"/>
        <w:ind w:right="24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比选申请人全称（加盖公章）：</w:t>
      </w:r>
    </w:p>
    <w:p>
      <w:pPr>
        <w:spacing w:line="360" w:lineRule="auto"/>
        <w:ind w:right="24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法定代表人或委托代理人（签字）：</w:t>
      </w:r>
    </w:p>
    <w:p>
      <w:pPr>
        <w:spacing w:line="360" w:lineRule="auto"/>
        <w:ind w:right="240"/>
        <w:rPr>
          <w:rFonts w:ascii="Times New Roman" w:hAnsi="Times New Roman" w:cs="Times New Roman"/>
          <w:color w:val="auto"/>
          <w:sz w:val="24"/>
          <w:highlight w:val="none"/>
        </w:rPr>
      </w:pPr>
      <w:r>
        <w:rPr>
          <w:rFonts w:hint="eastAsia" w:asciiTheme="minorEastAsia" w:hAnsiTheme="minorEastAsia" w:cstheme="minorEastAsia"/>
          <w:color w:val="auto"/>
          <w:sz w:val="24"/>
          <w:highlight w:val="none"/>
        </w:rPr>
        <w:t>_________年______月______日</w:t>
      </w:r>
    </w:p>
    <w:p>
      <w:pPr>
        <w:pStyle w:val="9"/>
        <w:rPr>
          <w:color w:val="auto"/>
          <w:highlight w:val="none"/>
        </w:rPr>
        <w:sectPr>
          <w:pgSz w:w="11906" w:h="16838"/>
          <w:pgMar w:top="1440" w:right="1588" w:bottom="1440" w:left="1588" w:header="851" w:footer="992" w:gutter="0"/>
          <w:cols w:space="720" w:num="1"/>
          <w:docGrid w:type="lines" w:linePitch="312" w:charSpace="0"/>
        </w:sectPr>
      </w:pPr>
    </w:p>
    <w:p>
      <w:pPr>
        <w:pStyle w:val="5"/>
        <w:jc w:val="center"/>
        <w:rPr>
          <w:rFonts w:ascii="宋体" w:hAnsi="宋体" w:eastAsia="宋体" w:cs="宋体"/>
          <w:bCs/>
          <w:color w:val="auto"/>
          <w:szCs w:val="28"/>
          <w:highlight w:val="none"/>
        </w:rPr>
      </w:pPr>
      <w:bookmarkStart w:id="173" w:name="_Toc12941"/>
      <w:r>
        <w:rPr>
          <w:rFonts w:ascii="Times New Roman" w:hAnsi="Times New Roman" w:cs="Times New Roman"/>
          <w:color w:val="auto"/>
          <w:highlight w:val="none"/>
        </w:rPr>
        <w:t>4.</w:t>
      </w:r>
      <w:r>
        <w:rPr>
          <w:rFonts w:hint="eastAsia" w:ascii="Times New Roman" w:hAnsi="Times New Roman" w:cs="Times New Roman"/>
          <w:color w:val="auto"/>
          <w:highlight w:val="none"/>
        </w:rPr>
        <w:t>6 技术偏离表</w:t>
      </w:r>
      <w:bookmarkEnd w:id="173"/>
    </w:p>
    <w:p>
      <w:pPr>
        <w:jc w:val="center"/>
        <w:rPr>
          <w:b/>
          <w:bCs/>
          <w:color w:val="auto"/>
          <w:sz w:val="28"/>
          <w:szCs w:val="28"/>
          <w:highlight w:val="none"/>
        </w:rPr>
      </w:pPr>
    </w:p>
    <w:p>
      <w:pPr>
        <w:pStyle w:val="14"/>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逐条对应比选文件第五章“采购需求”的要求如实、完整、准确的填写该表。</w:t>
      </w:r>
    </w:p>
    <w:p>
      <w:pPr>
        <w:pStyle w:val="14"/>
        <w:spacing w:afterLines="5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项目名称：</w:t>
      </w:r>
    </w:p>
    <w:p>
      <w:pPr>
        <w:pStyle w:val="14"/>
        <w:spacing w:afterLines="5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项目编号：</w:t>
      </w:r>
    </w:p>
    <w:tbl>
      <w:tblPr>
        <w:tblStyle w:val="25"/>
        <w:tblW w:w="9500" w:type="dxa"/>
        <w:tblInd w:w="-108" w:type="dxa"/>
        <w:tblLayout w:type="fixed"/>
        <w:tblCellMar>
          <w:top w:w="0" w:type="dxa"/>
          <w:left w:w="10" w:type="dxa"/>
          <w:bottom w:w="0" w:type="dxa"/>
          <w:right w:w="10" w:type="dxa"/>
        </w:tblCellMar>
      </w:tblPr>
      <w:tblGrid>
        <w:gridCol w:w="675"/>
        <w:gridCol w:w="1418"/>
        <w:gridCol w:w="2693"/>
        <w:gridCol w:w="3402"/>
        <w:gridCol w:w="1312"/>
      </w:tblGrid>
      <w:tr>
        <w:tblPrEx>
          <w:tblCellMar>
            <w:top w:w="0" w:type="dxa"/>
            <w:left w:w="10" w:type="dxa"/>
            <w:bottom w:w="0" w:type="dxa"/>
            <w:right w:w="10" w:type="dxa"/>
          </w:tblCellMar>
        </w:tblPrEx>
        <w:trPr>
          <w:trHeight w:val="503"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lang w:val="zh-CN"/>
              </w:rPr>
              <w:t>序号</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96"/>
              <w:jc w:val="center"/>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lang w:val="zh-CN"/>
              </w:rPr>
              <w:t>名称</w:t>
            </w:r>
          </w:p>
        </w:tc>
        <w:tc>
          <w:tcPr>
            <w:tcW w:w="26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rPr>
              <w:t>比选</w:t>
            </w:r>
            <w:r>
              <w:rPr>
                <w:rFonts w:hint="eastAsia" w:asciiTheme="minorEastAsia" w:hAnsiTheme="minorEastAsia" w:cstheme="minorEastAsia"/>
                <w:color w:val="auto"/>
                <w:sz w:val="24"/>
                <w:highlight w:val="none"/>
                <w:lang w:val="zh-CN"/>
              </w:rPr>
              <w:t>文件采购内容要求</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328" w:hanging="240"/>
              <w:jc w:val="center"/>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rPr>
              <w:t>比选申请</w:t>
            </w:r>
            <w:r>
              <w:rPr>
                <w:rFonts w:hint="eastAsia" w:asciiTheme="minorEastAsia" w:hAnsiTheme="minorEastAsia" w:cstheme="minorEastAsia"/>
                <w:color w:val="auto"/>
                <w:sz w:val="24"/>
                <w:highlight w:val="none"/>
                <w:lang w:val="zh-CN"/>
              </w:rPr>
              <w:t>人响应内容</w:t>
            </w:r>
          </w:p>
        </w:tc>
        <w:tc>
          <w:tcPr>
            <w:tcW w:w="13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lang w:val="zh-CN"/>
              </w:rPr>
              <w:t>偏离说明</w:t>
            </w:r>
          </w:p>
        </w:tc>
      </w:tr>
      <w:tr>
        <w:tblPrEx>
          <w:tblCellMar>
            <w:top w:w="0" w:type="dxa"/>
            <w:left w:w="10" w:type="dxa"/>
            <w:bottom w:w="0" w:type="dxa"/>
            <w:right w:w="10" w:type="dxa"/>
          </w:tblCellMar>
        </w:tblPrEx>
        <w:trPr>
          <w:trHeight w:val="640" w:hRule="atLeast"/>
        </w:trPr>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26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r>
      <w:tr>
        <w:tblPrEx>
          <w:tblCellMar>
            <w:top w:w="0" w:type="dxa"/>
            <w:left w:w="10" w:type="dxa"/>
            <w:bottom w:w="0" w:type="dxa"/>
            <w:right w:w="10" w:type="dxa"/>
          </w:tblCellMar>
        </w:tblPrEx>
        <w:trPr>
          <w:trHeight w:val="640" w:hRule="atLeast"/>
        </w:trPr>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26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r>
      <w:tr>
        <w:tblPrEx>
          <w:tblCellMar>
            <w:top w:w="0" w:type="dxa"/>
            <w:left w:w="10" w:type="dxa"/>
            <w:bottom w:w="0" w:type="dxa"/>
            <w:right w:w="10" w:type="dxa"/>
          </w:tblCellMar>
        </w:tblPrEx>
        <w:trPr>
          <w:trHeight w:val="640" w:hRule="atLeast"/>
        </w:trPr>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26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asciiTheme="minorEastAsia" w:hAnsiTheme="minorEastAsia" w:cstheme="minorEastAsia"/>
                <w:color w:val="auto"/>
                <w:sz w:val="24"/>
                <w:highlight w:val="none"/>
                <w:lang w:val="zh-CN"/>
              </w:rPr>
            </w:pPr>
          </w:p>
        </w:tc>
      </w:tr>
    </w:tbl>
    <w:p>
      <w:pPr>
        <w:pStyle w:val="14"/>
        <w:spacing w:line="276" w:lineRule="auto"/>
        <w:rPr>
          <w:rFonts w:asciiTheme="minorEastAsia" w:hAnsiTheme="minorEastAsia" w:cstheme="minorEastAsia"/>
          <w:b/>
          <w:color w:val="auto"/>
          <w:sz w:val="24"/>
          <w:highlight w:val="none"/>
        </w:rPr>
      </w:pPr>
    </w:p>
    <w:p>
      <w:pPr>
        <w:pStyle w:val="14"/>
        <w:spacing w:line="276"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注：</w:t>
      </w:r>
    </w:p>
    <w:p>
      <w:pPr>
        <w:pStyle w:val="2"/>
        <w:ind w:firstLine="0" w:firstLineChars="0"/>
        <w:rPr>
          <w:color w:val="auto"/>
          <w:highlight w:val="none"/>
        </w:rPr>
      </w:pPr>
      <w:r>
        <w:rPr>
          <w:rFonts w:hint="eastAsia" w:asciiTheme="minorEastAsia" w:hAnsiTheme="minorEastAsia" w:eastAsiaTheme="minorEastAsia" w:cstheme="minorEastAsia"/>
          <w:color w:val="auto"/>
          <w:sz w:val="24"/>
          <w:szCs w:val="24"/>
          <w:highlight w:val="none"/>
        </w:rPr>
        <w:t>“偏离”系指“正偏离”、“负偏离”或“无偏离”。表格中“偏离”一列，比选申请人只能如实填写“正偏离”、“负偏离”或“无偏离”。凡参选内容高于比选文件要求的，按“正偏离”填写；低于比选文件要求的，按“负偏离”填写；满足比选文件要求的，按“无偏离”填写。</w:t>
      </w:r>
    </w:p>
    <w:p>
      <w:pPr>
        <w:pStyle w:val="2"/>
        <w:ind w:firstLine="0" w:firstLineChars="0"/>
        <w:rPr>
          <w:color w:val="auto"/>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rPr>
          <w:color w:val="auto"/>
          <w:highlight w:val="none"/>
        </w:rPr>
      </w:pPr>
      <w:r>
        <w:rPr>
          <w:rFonts w:hint="eastAsia" w:ascii="Times New Roman" w:hAnsi="Times New Roman" w:eastAsia="宋体" w:cs="Times New Roman"/>
          <w:color w:val="auto"/>
          <w:sz w:val="24"/>
          <w:highlight w:val="none"/>
        </w:rPr>
        <w:t>日  期：</w:t>
      </w:r>
    </w:p>
    <w:p>
      <w:pPr>
        <w:pStyle w:val="31"/>
        <w:rPr>
          <w:rFonts w:ascii="宋体" w:hAnsi="宋体" w:eastAsia="宋体" w:cs="宋体"/>
          <w:color w:val="auto"/>
          <w:highlight w:val="none"/>
        </w:rPr>
        <w:sectPr>
          <w:pgSz w:w="11906" w:h="16838"/>
          <w:pgMar w:top="1440" w:right="1588" w:bottom="1440" w:left="1588" w:header="851" w:footer="992" w:gutter="0"/>
          <w:cols w:space="720" w:num="1"/>
          <w:docGrid w:type="lines" w:linePitch="312" w:charSpace="0"/>
        </w:sectPr>
      </w:pPr>
    </w:p>
    <w:p>
      <w:pPr>
        <w:pStyle w:val="5"/>
        <w:jc w:val="center"/>
        <w:rPr>
          <w:rFonts w:ascii="宋体" w:hAnsi="宋体" w:eastAsia="宋体" w:cs="宋体"/>
          <w:color w:val="auto"/>
          <w:highlight w:val="none"/>
        </w:rPr>
      </w:pPr>
      <w:bookmarkStart w:id="174" w:name="_Toc4825"/>
      <w:r>
        <w:rPr>
          <w:rFonts w:ascii="Times New Roman" w:hAnsi="Times New Roman" w:cs="Times New Roman"/>
          <w:color w:val="auto"/>
          <w:highlight w:val="none"/>
        </w:rPr>
        <w:t>4.</w:t>
      </w:r>
      <w:r>
        <w:rPr>
          <w:rFonts w:hint="eastAsia" w:ascii="Times New Roman" w:hAnsi="Times New Roman" w:eastAsia="宋体" w:cs="Times New Roman"/>
          <w:color w:val="auto"/>
          <w:highlight w:val="none"/>
        </w:rPr>
        <w:t>7</w:t>
      </w:r>
      <w:r>
        <w:rPr>
          <w:rFonts w:hint="eastAsia" w:ascii="Times New Roman" w:hAnsi="Times New Roman" w:cs="Times New Roman"/>
          <w:color w:val="auto"/>
          <w:highlight w:val="none"/>
        </w:rPr>
        <w:t xml:space="preserve"> 商务条款偏离表</w:t>
      </w:r>
      <w:bookmarkEnd w:id="174"/>
    </w:p>
    <w:p>
      <w:pPr>
        <w:pStyle w:val="31"/>
        <w:rPr>
          <w:rFonts w:ascii="宋体" w:hAnsi="宋体" w:eastAsia="宋体" w:cs="宋体"/>
          <w:color w:val="auto"/>
          <w:highlight w:val="none"/>
        </w:rPr>
      </w:pPr>
    </w:p>
    <w:p>
      <w:pPr>
        <w:spacing w:line="360" w:lineRule="auto"/>
        <w:ind w:firstLine="480" w:firstLineChars="200"/>
        <w:rPr>
          <w:rFonts w:asciiTheme="minorEastAsia" w:hAnsiTheme="minorEastAsia" w:cstheme="minorEastAsia"/>
          <w:color w:val="auto"/>
          <w:sz w:val="24"/>
          <w:szCs w:val="20"/>
          <w:highlight w:val="none"/>
        </w:rPr>
      </w:pPr>
      <w:r>
        <w:rPr>
          <w:rFonts w:hint="eastAsia" w:asciiTheme="minorEastAsia" w:hAnsiTheme="minorEastAsia" w:cstheme="minorEastAsia"/>
          <w:color w:val="auto"/>
          <w:sz w:val="24"/>
          <w:szCs w:val="20"/>
          <w:highlight w:val="none"/>
        </w:rPr>
        <w:t>比选申请人应逐条对应比选文件第五章“采购需求”和第三章“</w:t>
      </w:r>
      <w:r>
        <w:rPr>
          <w:rFonts w:hint="eastAsia" w:asciiTheme="minorEastAsia" w:hAnsiTheme="minorEastAsia" w:cstheme="minorEastAsia"/>
          <w:bCs/>
          <w:color w:val="auto"/>
          <w:sz w:val="24"/>
          <w:szCs w:val="20"/>
          <w:highlight w:val="none"/>
        </w:rPr>
        <w:t>合同书样式及主要条款</w:t>
      </w:r>
      <w:r>
        <w:rPr>
          <w:rFonts w:hint="eastAsia" w:asciiTheme="minorEastAsia" w:hAnsiTheme="minorEastAsia" w:cstheme="minorEastAsia"/>
          <w:color w:val="auto"/>
          <w:sz w:val="24"/>
          <w:szCs w:val="20"/>
          <w:highlight w:val="none"/>
        </w:rPr>
        <w:t>”中要求的商务条件，包括合同履约期限、付款方式、交货地、履约保证金等内容，并根据实际参选情况如实填写本表格。</w:t>
      </w:r>
    </w:p>
    <w:p>
      <w:pPr>
        <w:spacing w:line="360" w:lineRule="auto"/>
        <w:ind w:firstLine="480" w:firstLineChars="200"/>
        <w:rPr>
          <w:rFonts w:asciiTheme="minorEastAsia" w:hAnsiTheme="minorEastAsia" w:cstheme="minorEastAsia"/>
          <w:color w:val="auto"/>
          <w:sz w:val="24"/>
          <w:szCs w:val="20"/>
          <w:highlight w:val="none"/>
        </w:rPr>
      </w:pPr>
      <w:r>
        <w:rPr>
          <w:rFonts w:hint="eastAsia" w:asciiTheme="minorEastAsia" w:hAnsiTheme="minorEastAsia" w:cstheme="minorEastAsia"/>
          <w:color w:val="auto"/>
          <w:sz w:val="24"/>
          <w:szCs w:val="20"/>
          <w:highlight w:val="none"/>
        </w:rPr>
        <w:t>▲</w:t>
      </w:r>
      <w:r>
        <w:rPr>
          <w:rFonts w:hint="eastAsia" w:asciiTheme="minorEastAsia" w:hAnsiTheme="minorEastAsia" w:cstheme="minorEastAsia"/>
          <w:b/>
          <w:color w:val="auto"/>
          <w:sz w:val="24"/>
          <w:szCs w:val="20"/>
          <w:highlight w:val="none"/>
        </w:rPr>
        <w:t>未填写本表格的比选申请人将不能通过符合性审查。</w:t>
      </w:r>
    </w:p>
    <w:p>
      <w:pPr>
        <w:spacing w:after="200" w:line="360" w:lineRule="auto"/>
        <w:rPr>
          <w:rFonts w:asciiTheme="minorEastAsia" w:hAnsiTheme="minorEastAsia" w:cstheme="minorEastAsia"/>
          <w:color w:val="auto"/>
          <w:sz w:val="24"/>
          <w:szCs w:val="20"/>
          <w:highlight w:val="none"/>
          <w:u w:val="single"/>
        </w:rPr>
      </w:pPr>
      <w:r>
        <w:rPr>
          <w:rFonts w:hint="eastAsia" w:asciiTheme="minorEastAsia" w:hAnsiTheme="minorEastAsia" w:cstheme="minorEastAsia"/>
          <w:color w:val="auto"/>
          <w:sz w:val="24"/>
          <w:szCs w:val="20"/>
          <w:highlight w:val="none"/>
        </w:rPr>
        <w:t xml:space="preserve">项目名称： </w:t>
      </w:r>
      <w:r>
        <w:rPr>
          <w:rFonts w:hint="eastAsia" w:asciiTheme="minorEastAsia" w:hAnsiTheme="minorEastAsia" w:cstheme="minorEastAsia"/>
          <w:color w:val="auto"/>
          <w:sz w:val="24"/>
          <w:szCs w:val="20"/>
          <w:highlight w:val="none"/>
          <w:u w:val="single"/>
        </w:rPr>
        <w:t xml:space="preserve">              </w:t>
      </w:r>
      <w:r>
        <w:rPr>
          <w:rFonts w:hint="eastAsia" w:asciiTheme="minorEastAsia" w:hAnsiTheme="minorEastAsia" w:cstheme="minorEastAsia"/>
          <w:color w:val="auto"/>
          <w:sz w:val="24"/>
          <w:szCs w:val="20"/>
          <w:highlight w:val="none"/>
        </w:rPr>
        <w:t xml:space="preserve">         项目编号：</w:t>
      </w:r>
      <w:r>
        <w:rPr>
          <w:rFonts w:hint="eastAsia" w:asciiTheme="minorEastAsia" w:hAnsiTheme="minorEastAsia" w:cstheme="minorEastAsia"/>
          <w:color w:val="auto"/>
          <w:sz w:val="24"/>
          <w:szCs w:val="20"/>
          <w:highlight w:val="none"/>
          <w:u w:val="single"/>
        </w:rPr>
        <w:t xml:space="preserve">                 </w:t>
      </w:r>
    </w:p>
    <w:p>
      <w:pPr>
        <w:spacing w:line="360" w:lineRule="auto"/>
        <w:rPr>
          <w:rFonts w:asciiTheme="minorEastAsia" w:hAnsiTheme="minorEastAsia" w:cstheme="minorEastAsia"/>
          <w:color w:val="auto"/>
          <w:sz w:val="24"/>
          <w:szCs w:val="20"/>
          <w:highlight w:val="none"/>
        </w:rPr>
      </w:pPr>
      <w:r>
        <w:rPr>
          <w:rFonts w:ascii="Times New Roman" w:hAnsi="Times New Roman" w:cs="Times New Roman"/>
          <w:color w:val="auto"/>
          <w:sz w:val="24"/>
          <w:szCs w:val="20"/>
          <w:highlight w:val="none"/>
        </w:rPr>
        <w:t>A、</w:t>
      </w:r>
      <w:r>
        <w:rPr>
          <w:rFonts w:hint="eastAsia" w:asciiTheme="minorEastAsia" w:hAnsiTheme="minorEastAsia" w:cstheme="minorEastAsia"/>
          <w:color w:val="auto"/>
          <w:sz w:val="24"/>
          <w:szCs w:val="20"/>
          <w:highlight w:val="none"/>
        </w:rPr>
        <w:t>□我公司已详细阅读比选文件中项商务要求，所有商务要求均无偏离，中选后我公司将严格遵照执行。</w:t>
      </w:r>
    </w:p>
    <w:p>
      <w:pPr>
        <w:spacing w:line="360" w:lineRule="auto"/>
        <w:rPr>
          <w:rFonts w:asciiTheme="minorEastAsia" w:hAnsiTheme="minorEastAsia" w:cstheme="minorEastAsia"/>
          <w:color w:val="auto"/>
          <w:sz w:val="24"/>
          <w:szCs w:val="20"/>
          <w:highlight w:val="none"/>
        </w:rPr>
      </w:pPr>
      <w:r>
        <w:rPr>
          <w:rFonts w:ascii="Times New Roman" w:hAnsi="Times New Roman" w:cs="Times New Roman"/>
          <w:color w:val="auto"/>
          <w:sz w:val="24"/>
          <w:szCs w:val="20"/>
          <w:highlight w:val="none"/>
        </w:rPr>
        <w:t>B、</w:t>
      </w:r>
      <w:r>
        <w:rPr>
          <w:rFonts w:hint="eastAsia" w:asciiTheme="minorEastAsia" w:hAnsiTheme="minorEastAsia" w:cstheme="minorEastAsia"/>
          <w:color w:val="auto"/>
          <w:sz w:val="24"/>
          <w:szCs w:val="20"/>
          <w:highlight w:val="none"/>
        </w:rPr>
        <w:t>□我公司已详细阅读比选文件中项商务要求，除下述条款有偏离外，其余条款我公司均予以认可，中选后将严格遵照执行。</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2804"/>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7" w:type="pct"/>
            <w:vAlign w:val="center"/>
          </w:tcPr>
          <w:p>
            <w:pPr>
              <w:spacing w:line="360" w:lineRule="auto"/>
              <w:jc w:val="center"/>
              <w:rPr>
                <w:rFonts w:asciiTheme="minorEastAsia" w:hAnsiTheme="minorEastAsia" w:cstheme="minorEastAsia"/>
                <w:color w:val="auto"/>
                <w:sz w:val="24"/>
                <w:szCs w:val="20"/>
                <w:highlight w:val="none"/>
              </w:rPr>
            </w:pPr>
            <w:r>
              <w:rPr>
                <w:rFonts w:hint="eastAsia" w:asciiTheme="minorEastAsia" w:hAnsiTheme="minorEastAsia" w:cstheme="minorEastAsia"/>
                <w:color w:val="auto"/>
                <w:sz w:val="24"/>
                <w:szCs w:val="20"/>
                <w:highlight w:val="none"/>
              </w:rPr>
              <w:t>序号</w:t>
            </w:r>
          </w:p>
        </w:tc>
        <w:tc>
          <w:tcPr>
            <w:tcW w:w="1567" w:type="pct"/>
            <w:vAlign w:val="center"/>
          </w:tcPr>
          <w:p>
            <w:pPr>
              <w:spacing w:line="360" w:lineRule="auto"/>
              <w:jc w:val="center"/>
              <w:rPr>
                <w:rFonts w:asciiTheme="minorEastAsia" w:hAnsiTheme="minorEastAsia" w:cstheme="minorEastAsia"/>
                <w:color w:val="auto"/>
                <w:sz w:val="24"/>
                <w:szCs w:val="20"/>
                <w:highlight w:val="none"/>
              </w:rPr>
            </w:pPr>
            <w:r>
              <w:rPr>
                <w:rFonts w:hint="eastAsia" w:asciiTheme="minorEastAsia" w:hAnsiTheme="minorEastAsia" w:cstheme="minorEastAsia"/>
                <w:color w:val="auto"/>
                <w:sz w:val="24"/>
                <w:szCs w:val="20"/>
                <w:highlight w:val="none"/>
              </w:rPr>
              <w:t>比选文件的商务条款要求</w:t>
            </w:r>
          </w:p>
        </w:tc>
        <w:tc>
          <w:tcPr>
            <w:tcW w:w="2184" w:type="pct"/>
            <w:vAlign w:val="center"/>
          </w:tcPr>
          <w:p>
            <w:pPr>
              <w:spacing w:line="360" w:lineRule="auto"/>
              <w:jc w:val="center"/>
              <w:rPr>
                <w:rFonts w:asciiTheme="minorEastAsia" w:hAnsiTheme="minorEastAsia" w:cstheme="minorEastAsia"/>
                <w:color w:val="auto"/>
                <w:sz w:val="24"/>
                <w:szCs w:val="20"/>
                <w:highlight w:val="none"/>
              </w:rPr>
            </w:pPr>
            <w:r>
              <w:rPr>
                <w:rFonts w:hint="eastAsia" w:asciiTheme="minorEastAsia" w:hAnsiTheme="minorEastAsia" w:cstheme="minorEastAsia"/>
                <w:color w:val="auto"/>
                <w:sz w:val="24"/>
                <w:szCs w:val="20"/>
                <w:highlight w:val="none"/>
              </w:rPr>
              <w:t>比选申请文件的商务条款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7" w:type="pct"/>
            <w:vAlign w:val="center"/>
          </w:tcPr>
          <w:p>
            <w:pPr>
              <w:spacing w:line="360" w:lineRule="auto"/>
              <w:jc w:val="center"/>
              <w:rPr>
                <w:rFonts w:asciiTheme="minorEastAsia" w:hAnsiTheme="minorEastAsia" w:cstheme="minorEastAsia"/>
                <w:color w:val="auto"/>
                <w:sz w:val="24"/>
                <w:szCs w:val="20"/>
                <w:highlight w:val="none"/>
              </w:rPr>
            </w:pPr>
          </w:p>
        </w:tc>
        <w:tc>
          <w:tcPr>
            <w:tcW w:w="1567" w:type="pct"/>
            <w:vAlign w:val="center"/>
          </w:tcPr>
          <w:p>
            <w:pPr>
              <w:spacing w:line="360" w:lineRule="auto"/>
              <w:jc w:val="center"/>
              <w:rPr>
                <w:rFonts w:asciiTheme="minorEastAsia" w:hAnsiTheme="minorEastAsia" w:cstheme="minorEastAsia"/>
                <w:color w:val="auto"/>
                <w:sz w:val="24"/>
                <w:szCs w:val="20"/>
                <w:highlight w:val="none"/>
              </w:rPr>
            </w:pPr>
          </w:p>
        </w:tc>
        <w:tc>
          <w:tcPr>
            <w:tcW w:w="2184" w:type="pct"/>
            <w:vAlign w:val="center"/>
          </w:tcPr>
          <w:p>
            <w:pPr>
              <w:spacing w:line="360" w:lineRule="auto"/>
              <w:jc w:val="center"/>
              <w:rPr>
                <w:rFonts w:asciiTheme="minorEastAsia" w:hAnsi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7" w:type="pct"/>
            <w:vAlign w:val="center"/>
          </w:tcPr>
          <w:p>
            <w:pPr>
              <w:spacing w:line="360" w:lineRule="auto"/>
              <w:jc w:val="center"/>
              <w:rPr>
                <w:rFonts w:asciiTheme="minorEastAsia" w:hAnsiTheme="minorEastAsia" w:cstheme="minorEastAsia"/>
                <w:color w:val="auto"/>
                <w:sz w:val="24"/>
                <w:szCs w:val="20"/>
                <w:highlight w:val="none"/>
              </w:rPr>
            </w:pPr>
          </w:p>
        </w:tc>
        <w:tc>
          <w:tcPr>
            <w:tcW w:w="1567" w:type="pct"/>
            <w:vAlign w:val="center"/>
          </w:tcPr>
          <w:p>
            <w:pPr>
              <w:spacing w:line="360" w:lineRule="auto"/>
              <w:jc w:val="center"/>
              <w:rPr>
                <w:rFonts w:asciiTheme="minorEastAsia" w:hAnsiTheme="minorEastAsia" w:cstheme="minorEastAsia"/>
                <w:color w:val="auto"/>
                <w:sz w:val="24"/>
                <w:szCs w:val="20"/>
                <w:highlight w:val="none"/>
              </w:rPr>
            </w:pPr>
          </w:p>
        </w:tc>
        <w:tc>
          <w:tcPr>
            <w:tcW w:w="2184" w:type="pct"/>
            <w:vAlign w:val="center"/>
          </w:tcPr>
          <w:p>
            <w:pPr>
              <w:spacing w:line="360" w:lineRule="auto"/>
              <w:jc w:val="center"/>
              <w:rPr>
                <w:rFonts w:asciiTheme="minorEastAsia" w:hAnsi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7" w:type="pct"/>
            <w:vAlign w:val="center"/>
          </w:tcPr>
          <w:p>
            <w:pPr>
              <w:spacing w:line="360" w:lineRule="auto"/>
              <w:jc w:val="center"/>
              <w:rPr>
                <w:rFonts w:asciiTheme="minorEastAsia" w:hAnsiTheme="minorEastAsia" w:cstheme="minorEastAsia"/>
                <w:color w:val="auto"/>
                <w:sz w:val="24"/>
                <w:szCs w:val="20"/>
                <w:highlight w:val="none"/>
              </w:rPr>
            </w:pPr>
          </w:p>
        </w:tc>
        <w:tc>
          <w:tcPr>
            <w:tcW w:w="1567" w:type="pct"/>
            <w:vAlign w:val="center"/>
          </w:tcPr>
          <w:p>
            <w:pPr>
              <w:spacing w:line="360" w:lineRule="auto"/>
              <w:jc w:val="center"/>
              <w:rPr>
                <w:rFonts w:asciiTheme="minorEastAsia" w:hAnsiTheme="minorEastAsia" w:cstheme="minorEastAsia"/>
                <w:color w:val="auto"/>
                <w:sz w:val="24"/>
                <w:szCs w:val="20"/>
                <w:highlight w:val="none"/>
              </w:rPr>
            </w:pPr>
          </w:p>
        </w:tc>
        <w:tc>
          <w:tcPr>
            <w:tcW w:w="2184" w:type="pct"/>
            <w:vAlign w:val="center"/>
          </w:tcPr>
          <w:p>
            <w:pPr>
              <w:spacing w:line="360" w:lineRule="auto"/>
              <w:jc w:val="center"/>
              <w:rPr>
                <w:rFonts w:asciiTheme="minorEastAsia" w:hAnsiTheme="minorEastAsia" w:cstheme="minorEastAsia"/>
                <w:color w:val="auto"/>
                <w:sz w:val="24"/>
                <w:szCs w:val="20"/>
                <w:highlight w:val="none"/>
              </w:rPr>
            </w:pPr>
          </w:p>
        </w:tc>
      </w:tr>
    </w:tbl>
    <w:p>
      <w:pPr>
        <w:pStyle w:val="14"/>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表格填写说明：</w:t>
      </w:r>
    </w:p>
    <w:p>
      <w:pPr>
        <w:pStyle w:val="14"/>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hint="eastAsia" w:ascii="Times New Roman" w:hAnsi="Times New Roman" w:cs="Times New Roman"/>
          <w:color w:val="auto"/>
          <w:sz w:val="24"/>
          <w:highlight w:val="none"/>
        </w:rPr>
        <w:t>比选申请</w:t>
      </w:r>
      <w:r>
        <w:rPr>
          <w:rFonts w:ascii="Times New Roman" w:hAnsi="Times New Roman" w:cs="Times New Roman"/>
          <w:color w:val="auto"/>
          <w:sz w:val="24"/>
          <w:highlight w:val="none"/>
        </w:rPr>
        <w:t>人根据应根据实际</w:t>
      </w:r>
      <w:r>
        <w:rPr>
          <w:rFonts w:hint="eastAsia" w:ascii="Times New Roman" w:hAnsi="Times New Roman" w:cs="Times New Roman"/>
          <w:color w:val="auto"/>
          <w:sz w:val="24"/>
          <w:highlight w:val="none"/>
        </w:rPr>
        <w:t>参选</w:t>
      </w:r>
      <w:r>
        <w:rPr>
          <w:rFonts w:ascii="Times New Roman" w:hAnsi="Times New Roman" w:cs="Times New Roman"/>
          <w:color w:val="auto"/>
          <w:sz w:val="24"/>
          <w:highlight w:val="none"/>
        </w:rPr>
        <w:t>情况，填写本表格，若无偏离，则勾选A项，签字盖章即可。若有偏离，则勾选B项，按表格要求及实际情况填写后，签字盖章。</w:t>
      </w:r>
    </w:p>
    <w:p>
      <w:pPr>
        <w:pStyle w:val="14"/>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2、表格中“</w:t>
      </w:r>
      <w:r>
        <w:rPr>
          <w:rFonts w:hint="eastAsia" w:ascii="Times New Roman" w:hAnsi="Times New Roman" w:cs="Times New Roman"/>
          <w:color w:val="auto"/>
          <w:sz w:val="24"/>
          <w:highlight w:val="none"/>
        </w:rPr>
        <w:t>比选</w:t>
      </w:r>
      <w:r>
        <w:rPr>
          <w:rFonts w:ascii="Times New Roman" w:hAnsi="Times New Roman" w:cs="Times New Roman"/>
          <w:color w:val="auto"/>
          <w:sz w:val="24"/>
          <w:highlight w:val="none"/>
        </w:rPr>
        <w:t>文件的商务条款要求”在填写时应注明该条款在</w:t>
      </w:r>
      <w:r>
        <w:rPr>
          <w:rFonts w:hint="eastAsia" w:ascii="Times New Roman" w:hAnsi="Times New Roman" w:cs="Times New Roman"/>
          <w:color w:val="auto"/>
          <w:sz w:val="24"/>
          <w:highlight w:val="none"/>
        </w:rPr>
        <w:t>比选</w:t>
      </w:r>
      <w:r>
        <w:rPr>
          <w:rFonts w:ascii="Times New Roman" w:hAnsi="Times New Roman" w:cs="Times New Roman"/>
          <w:color w:val="auto"/>
          <w:sz w:val="24"/>
          <w:highlight w:val="none"/>
        </w:rPr>
        <w:t>文件的页码及条款号。</w:t>
      </w:r>
    </w:p>
    <w:p>
      <w:pPr>
        <w:pStyle w:val="14"/>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3、表格中“</w:t>
      </w:r>
      <w:r>
        <w:rPr>
          <w:rFonts w:hint="eastAsia" w:ascii="Times New Roman" w:hAnsi="Times New Roman" w:cs="Times New Roman"/>
          <w:color w:val="auto"/>
          <w:sz w:val="24"/>
          <w:highlight w:val="none"/>
        </w:rPr>
        <w:t>比选申请</w:t>
      </w:r>
      <w:r>
        <w:rPr>
          <w:rFonts w:ascii="Times New Roman" w:hAnsi="Times New Roman" w:cs="Times New Roman"/>
          <w:color w:val="auto"/>
          <w:sz w:val="24"/>
          <w:highlight w:val="none"/>
        </w:rPr>
        <w:t>文件的商务条款”请</w:t>
      </w:r>
      <w:r>
        <w:rPr>
          <w:rFonts w:hint="eastAsia" w:ascii="Times New Roman" w:hAnsi="Times New Roman" w:cs="Times New Roman"/>
          <w:color w:val="auto"/>
          <w:sz w:val="24"/>
          <w:highlight w:val="none"/>
        </w:rPr>
        <w:t>比选申请</w:t>
      </w:r>
      <w:r>
        <w:rPr>
          <w:rFonts w:ascii="Times New Roman" w:hAnsi="Times New Roman" w:cs="Times New Roman"/>
          <w:color w:val="auto"/>
          <w:sz w:val="24"/>
          <w:highlight w:val="none"/>
        </w:rPr>
        <w:t>人根据实际</w:t>
      </w:r>
      <w:r>
        <w:rPr>
          <w:rFonts w:hint="eastAsia" w:ascii="Times New Roman" w:hAnsi="Times New Roman" w:cs="Times New Roman"/>
          <w:color w:val="auto"/>
          <w:sz w:val="24"/>
          <w:highlight w:val="none"/>
        </w:rPr>
        <w:t>参选</w:t>
      </w:r>
      <w:r>
        <w:rPr>
          <w:rFonts w:ascii="Times New Roman" w:hAnsi="Times New Roman" w:cs="Times New Roman"/>
          <w:color w:val="auto"/>
          <w:sz w:val="24"/>
          <w:highlight w:val="none"/>
        </w:rPr>
        <w:t>情况如实、完整、准确的填写。</w:t>
      </w:r>
    </w:p>
    <w:p>
      <w:pPr>
        <w:pStyle w:val="31"/>
        <w:rPr>
          <w:rFonts w:ascii="宋体" w:hAnsi="宋体" w:eastAsia="宋体" w:cs="宋体"/>
          <w:color w:val="auto"/>
          <w:highlight w:val="none"/>
        </w:rPr>
      </w:pPr>
      <w:r>
        <w:rPr>
          <w:rFonts w:ascii="Times New Roman" w:cs="Times New Roman" w:eastAsiaTheme="minorEastAsia"/>
          <w:color w:val="auto"/>
          <w:highlight w:val="none"/>
        </w:rPr>
        <w:t>4、</w:t>
      </w:r>
      <w:r>
        <w:rPr>
          <w:rFonts w:ascii="Times New Roman" w:cs="Times New Roman" w:eastAsiaTheme="minorEastAsia"/>
          <w:b/>
          <w:color w:val="auto"/>
          <w:highlight w:val="none"/>
        </w:rPr>
        <w:t>本表格中内容与</w:t>
      </w:r>
      <w:r>
        <w:rPr>
          <w:rFonts w:hint="eastAsia" w:ascii="Times New Roman" w:cs="Times New Roman" w:eastAsiaTheme="minorEastAsia"/>
          <w:b/>
          <w:color w:val="auto"/>
          <w:highlight w:val="none"/>
        </w:rPr>
        <w:t>比选申请</w:t>
      </w:r>
      <w:r>
        <w:rPr>
          <w:rFonts w:ascii="Times New Roman" w:cs="Times New Roman" w:eastAsiaTheme="minorEastAsia"/>
          <w:b/>
          <w:color w:val="auto"/>
          <w:highlight w:val="none"/>
        </w:rPr>
        <w:t>文件其余部分不一致的，以本表格为准。</w:t>
      </w:r>
    </w:p>
    <w:p>
      <w:pPr>
        <w:pStyle w:val="31"/>
        <w:rPr>
          <w:rFonts w:ascii="宋体" w:hAnsi="宋体" w:eastAsia="宋体" w:cs="宋体"/>
          <w:color w:val="auto"/>
          <w:highlight w:val="none"/>
        </w:rPr>
      </w:pPr>
    </w:p>
    <w:p>
      <w:pPr>
        <w:pStyle w:val="31"/>
        <w:rPr>
          <w:rFonts w:ascii="宋体" w:hAnsi="宋体" w:eastAsia="宋体" w:cs="宋体"/>
          <w:color w:val="auto"/>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pStyle w:val="31"/>
        <w:rPr>
          <w:rFonts w:ascii="宋体" w:hAnsi="宋体" w:eastAsia="宋体" w:cs="宋体"/>
          <w:color w:val="auto"/>
          <w:highlight w:val="none"/>
        </w:rPr>
      </w:pPr>
      <w:r>
        <w:rPr>
          <w:rFonts w:hint="eastAsia" w:ascii="Times New Roman" w:eastAsia="宋体" w:cs="Times New Roman"/>
          <w:color w:val="auto"/>
          <w:highlight w:val="none"/>
        </w:rPr>
        <w:t>日  期：</w:t>
      </w:r>
    </w:p>
    <w:p>
      <w:pPr>
        <w:pStyle w:val="31"/>
        <w:rPr>
          <w:rFonts w:ascii="宋体" w:hAnsi="宋体" w:eastAsia="宋体" w:cs="宋体"/>
          <w:color w:val="auto"/>
          <w:highlight w:val="none"/>
        </w:rPr>
      </w:pPr>
    </w:p>
    <w:p>
      <w:pPr>
        <w:pStyle w:val="31"/>
        <w:rPr>
          <w:rFonts w:ascii="宋体" w:hAnsi="宋体" w:eastAsia="宋体" w:cs="宋体"/>
          <w:color w:val="auto"/>
          <w:highlight w:val="none"/>
        </w:rPr>
        <w:sectPr>
          <w:pgSz w:w="11906" w:h="16838"/>
          <w:pgMar w:top="1440" w:right="1588" w:bottom="1440" w:left="1588" w:header="851" w:footer="992" w:gutter="0"/>
          <w:cols w:space="720" w:num="1"/>
          <w:docGrid w:type="lines" w:linePitch="312" w:charSpace="0"/>
        </w:sectPr>
      </w:pPr>
    </w:p>
    <w:p>
      <w:pPr>
        <w:pStyle w:val="5"/>
        <w:jc w:val="center"/>
        <w:rPr>
          <w:rFonts w:ascii="Times New Roman" w:hAnsi="Times New Roman" w:eastAsia="宋体" w:cs="Times New Roman"/>
          <w:color w:val="auto"/>
          <w:highlight w:val="none"/>
        </w:rPr>
      </w:pPr>
      <w:bookmarkStart w:id="175" w:name="_Toc10865"/>
      <w:r>
        <w:rPr>
          <w:rFonts w:ascii="Times New Roman" w:hAnsi="Times New Roman" w:eastAsia="宋体" w:cs="Times New Roman"/>
          <w:color w:val="auto"/>
          <w:highlight w:val="none"/>
        </w:rPr>
        <w:t>4.</w:t>
      </w:r>
      <w:bookmarkStart w:id="176" w:name="_Toc52318222"/>
      <w:r>
        <w:rPr>
          <w:rFonts w:hint="eastAsia" w:ascii="Times New Roman" w:hAnsi="Times New Roman" w:eastAsia="宋体" w:cs="Times New Roman"/>
          <w:color w:val="auto"/>
          <w:highlight w:val="none"/>
        </w:rPr>
        <w:t>8</w:t>
      </w:r>
      <w:bookmarkEnd w:id="176"/>
      <w:r>
        <w:rPr>
          <w:rFonts w:hint="eastAsia" w:ascii="Times New Roman" w:hAnsi="Times New Roman" w:eastAsia="宋体" w:cs="Times New Roman"/>
          <w:color w:val="auto"/>
          <w:highlight w:val="none"/>
        </w:rPr>
        <w:t>货物简要说明</w:t>
      </w:r>
      <w:bookmarkEnd w:id="175"/>
    </w:p>
    <w:p>
      <w:pPr>
        <w:spacing w:after="200" w:line="276" w:lineRule="auto"/>
        <w:jc w:val="center"/>
        <w:rPr>
          <w:rFonts w:ascii="宋体" w:hAnsi="宋体" w:eastAsia="宋体" w:cs="宋体"/>
          <w:color w:val="auto"/>
          <w:sz w:val="24"/>
          <w:highlight w:val="none"/>
        </w:rPr>
      </w:pPr>
    </w:p>
    <w:p>
      <w:pPr>
        <w:spacing w:after="200" w:line="276" w:lineRule="auto"/>
        <w:jc w:val="center"/>
        <w:rPr>
          <w:rFonts w:ascii="宋体" w:hAnsi="宋体" w:eastAsia="宋体" w:cs="宋体"/>
          <w:color w:val="auto"/>
          <w:sz w:val="24"/>
          <w:highlight w:val="none"/>
        </w:rPr>
      </w:pPr>
      <w:r>
        <w:rPr>
          <w:rFonts w:hint="eastAsia" w:ascii="宋体" w:hAnsi="宋体" w:eastAsia="宋体" w:cs="宋体"/>
          <w:b/>
          <w:bCs/>
          <w:color w:val="auto"/>
          <w:sz w:val="32"/>
          <w:szCs w:val="32"/>
          <w:highlight w:val="none"/>
        </w:rPr>
        <w:t>简要货物说明</w:t>
      </w:r>
    </w:p>
    <w:p>
      <w:pPr>
        <w:spacing w:after="200" w:line="276" w:lineRule="auto"/>
        <w:jc w:val="center"/>
        <w:rPr>
          <w:rFonts w:ascii="宋体" w:hAnsi="宋体" w:eastAsia="宋体" w:cs="宋体"/>
          <w:color w:val="auto"/>
          <w:szCs w:val="20"/>
          <w:highlight w:val="none"/>
        </w:rPr>
      </w:pPr>
      <w:r>
        <w:rPr>
          <w:rFonts w:hint="eastAsia" w:ascii="宋体" w:hAnsi="宋体" w:eastAsia="宋体" w:cs="宋体"/>
          <w:color w:val="auto"/>
          <w:sz w:val="24"/>
          <w:highlight w:val="none"/>
        </w:rPr>
        <w:t>格式自拟</w:t>
      </w:r>
    </w:p>
    <w:p>
      <w:pPr>
        <w:spacing w:after="200" w:line="276"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人必须提供各种</w:t>
      </w:r>
      <w:r>
        <w:rPr>
          <w:rFonts w:hint="eastAsia" w:ascii="Times New Roman" w:hAnsi="Times New Roman" w:eastAsia="宋体" w:cs="Times New Roman"/>
          <w:color w:val="auto"/>
          <w:sz w:val="24"/>
          <w:highlight w:val="none"/>
        </w:rPr>
        <w:t>食材</w:t>
      </w:r>
      <w:r>
        <w:rPr>
          <w:rFonts w:ascii="Times New Roman" w:hAnsi="Times New Roman" w:eastAsia="宋体" w:cs="Times New Roman"/>
          <w:color w:val="auto"/>
          <w:sz w:val="24"/>
          <w:highlight w:val="none"/>
        </w:rPr>
        <w:t>的</w:t>
      </w:r>
      <w:r>
        <w:rPr>
          <w:rFonts w:hint="eastAsia" w:ascii="Times New Roman" w:hAnsi="Times New Roman" w:eastAsia="宋体" w:cs="Times New Roman"/>
          <w:color w:val="auto"/>
          <w:sz w:val="24"/>
          <w:highlight w:val="none"/>
        </w:rPr>
        <w:t>采购</w:t>
      </w:r>
      <w:r>
        <w:rPr>
          <w:rFonts w:ascii="Times New Roman" w:hAnsi="Times New Roman" w:eastAsia="宋体" w:cs="Times New Roman"/>
          <w:color w:val="auto"/>
          <w:sz w:val="24"/>
          <w:highlight w:val="none"/>
        </w:rPr>
        <w:t>地点，清晰的实物彩色图片、文字（技术参数、技术指标、技术性能）、第三方检测报告等多种方式证明对采购人</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文件的响应程度。图片应清晰可辩，品牌、产品、产地、生产日期、保质期等标识标牌清楚。</w:t>
      </w:r>
    </w:p>
    <w:p>
      <w:pPr>
        <w:spacing w:after="200" w:line="276"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 对</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文件技术参数、技术规格、质量要求，逐条说明所提供</w:t>
      </w:r>
      <w:r>
        <w:rPr>
          <w:rFonts w:hint="eastAsia" w:ascii="Times New Roman" w:hAnsi="Times New Roman" w:eastAsia="宋体" w:cs="Times New Roman"/>
          <w:color w:val="auto"/>
          <w:sz w:val="24"/>
          <w:highlight w:val="none"/>
        </w:rPr>
        <w:t>食材</w:t>
      </w:r>
      <w:r>
        <w:rPr>
          <w:rFonts w:ascii="Times New Roman" w:hAnsi="Times New Roman" w:eastAsia="宋体" w:cs="Times New Roman"/>
          <w:color w:val="auto"/>
          <w:sz w:val="24"/>
          <w:highlight w:val="none"/>
        </w:rPr>
        <w:t>已对采购人的技术要求做出了实质性的响应，或申明与技术规格条文的偏差和例外。特别对于有具体参数要求的指标，</w:t>
      </w:r>
      <w:r>
        <w:rPr>
          <w:rFonts w:hint="eastAsia" w:ascii="Times New Roman" w:hAnsi="Times New Roman" w:eastAsia="宋体" w:cs="Times New Roman"/>
          <w:color w:val="auto"/>
          <w:sz w:val="24"/>
          <w:highlight w:val="none"/>
        </w:rPr>
        <w:t>比选申请</w:t>
      </w:r>
      <w:r>
        <w:rPr>
          <w:rFonts w:ascii="Times New Roman" w:hAnsi="Times New Roman" w:eastAsia="宋体" w:cs="Times New Roman"/>
          <w:color w:val="auto"/>
          <w:sz w:val="24"/>
          <w:highlight w:val="none"/>
        </w:rPr>
        <w:t>人必须提供所投货物的具体参数值，提供相关证明资料。</w:t>
      </w:r>
    </w:p>
    <w:p>
      <w:pPr>
        <w:spacing w:line="360" w:lineRule="auto"/>
        <w:rPr>
          <w:rFonts w:ascii="Times New Roman" w:hAnsi="Times New Roman" w:eastAsia="宋体" w:cs="Times New Roman"/>
          <w:b/>
          <w:bCs/>
          <w:color w:val="auto"/>
          <w:sz w:val="32"/>
          <w:szCs w:val="32"/>
          <w:highlight w:val="none"/>
        </w:rPr>
      </w:pPr>
      <w:r>
        <w:rPr>
          <w:rFonts w:ascii="Times New Roman" w:hAnsi="Times New Roman" w:eastAsia="宋体" w:cs="Times New Roman"/>
          <w:color w:val="auto"/>
          <w:sz w:val="24"/>
          <w:highlight w:val="none"/>
        </w:rPr>
        <w:t>3.提供的实物样品彩色图片将作为配送货时校方收验货的参照依据和标准。</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rPr>
          <w:b/>
          <w:bCs/>
          <w:color w:val="auto"/>
          <w:sz w:val="32"/>
          <w:szCs w:val="32"/>
          <w:highlight w:val="none"/>
        </w:rPr>
      </w:pPr>
      <w:r>
        <w:rPr>
          <w:rFonts w:hint="eastAsia" w:ascii="Times New Roman" w:hAnsi="Times New Roman" w:eastAsia="宋体" w:cs="Times New Roman"/>
          <w:color w:val="auto"/>
          <w:sz w:val="24"/>
          <w:highlight w:val="none"/>
        </w:rPr>
        <w:t>日  期：</w:t>
      </w:r>
    </w:p>
    <w:p>
      <w:pPr>
        <w:rPr>
          <w:color w:val="auto"/>
          <w:highlight w:val="none"/>
        </w:rPr>
      </w:pPr>
    </w:p>
    <w:p>
      <w:pPr>
        <w:pStyle w:val="2"/>
        <w:ind w:firstLine="0" w:firstLineChars="0"/>
        <w:rPr>
          <w:color w:val="auto"/>
          <w:highlight w:val="none"/>
        </w:rPr>
      </w:pPr>
    </w:p>
    <w:p>
      <w:pPr>
        <w:rPr>
          <w:color w:val="auto"/>
          <w:highlight w:val="none"/>
        </w:rPr>
        <w:sectPr>
          <w:pgSz w:w="11906" w:h="16838"/>
          <w:pgMar w:top="1440" w:right="1588" w:bottom="1440" w:left="1588" w:header="851" w:footer="992" w:gutter="0"/>
          <w:cols w:space="720" w:num="1"/>
          <w:docGrid w:type="lines" w:linePitch="312" w:charSpace="0"/>
        </w:sectPr>
      </w:pPr>
    </w:p>
    <w:p>
      <w:pPr>
        <w:pStyle w:val="5"/>
        <w:jc w:val="center"/>
        <w:rPr>
          <w:rFonts w:eastAsiaTheme="minorEastAsia"/>
          <w:color w:val="auto"/>
          <w:highlight w:val="none"/>
        </w:rPr>
      </w:pPr>
      <w:bookmarkStart w:id="177" w:name="_Toc22178"/>
      <w:bookmarkStart w:id="178" w:name="_Toc417475050"/>
      <w:bookmarkStart w:id="179" w:name="_Toc417657282"/>
      <w:bookmarkStart w:id="180" w:name="_Toc417475049"/>
      <w:bookmarkStart w:id="181" w:name="_Toc409775275"/>
      <w:r>
        <w:rPr>
          <w:rFonts w:ascii="Times New Roman" w:hAnsi="Times New Roman" w:cs="Times New Roman"/>
          <w:color w:val="auto"/>
          <w:highlight w:val="none"/>
        </w:rPr>
        <w:t>4.</w:t>
      </w:r>
      <w:r>
        <w:rPr>
          <w:rFonts w:hint="eastAsia" w:ascii="Times New Roman" w:hAnsi="Times New Roman" w:cs="Times New Roman"/>
          <w:color w:val="auto"/>
          <w:highlight w:val="none"/>
        </w:rPr>
        <w:t>9</w:t>
      </w:r>
      <w:r>
        <w:rPr>
          <w:rFonts w:ascii="Times New Roman" w:hAnsi="Times New Roman" w:cs="Times New Roman"/>
          <w:color w:val="auto"/>
          <w:highlight w:val="none"/>
        </w:rPr>
        <w:t xml:space="preserve"> </w:t>
      </w:r>
      <w:bookmarkStart w:id="182" w:name="_Toc31586"/>
      <w:bookmarkStart w:id="183" w:name="_Toc26636"/>
      <w:r>
        <w:rPr>
          <w:rFonts w:hint="eastAsia" w:ascii="Times New Roman" w:hAnsi="Times New Roman" w:cs="Times New Roman"/>
          <w:color w:val="auto"/>
          <w:highlight w:val="none"/>
        </w:rPr>
        <w:t>配送服务方案</w:t>
      </w:r>
      <w:bookmarkEnd w:id="177"/>
      <w:bookmarkEnd w:id="182"/>
      <w:bookmarkEnd w:id="183"/>
    </w:p>
    <w:p>
      <w:pPr>
        <w:rPr>
          <w:color w:val="auto"/>
          <w:highlight w:val="none"/>
        </w:rPr>
      </w:pPr>
    </w:p>
    <w:p>
      <w:pPr>
        <w:jc w:val="center"/>
        <w:rPr>
          <w:color w:val="auto"/>
          <w:highlight w:val="none"/>
        </w:rPr>
      </w:pPr>
      <w:r>
        <w:rPr>
          <w:rFonts w:hint="eastAsia"/>
          <w:color w:val="auto"/>
          <w:sz w:val="36"/>
          <w:szCs w:val="36"/>
          <w:highlight w:val="none"/>
        </w:rPr>
        <w:t>配送服务方案</w:t>
      </w:r>
    </w:p>
    <w:p>
      <w:pPr>
        <w:spacing w:line="400" w:lineRule="exact"/>
        <w:ind w:firstLine="480" w:firstLineChars="200"/>
        <w:jc w:val="left"/>
        <w:rPr>
          <w:rFonts w:ascii="Times New Roman" w:hAnsi="Times New Roman" w:eastAsia="宋体" w:cs="Times New Roman"/>
          <w:color w:val="auto"/>
          <w:sz w:val="24"/>
          <w:highlight w:val="none"/>
        </w:rPr>
      </w:pPr>
    </w:p>
    <w:p>
      <w:pPr>
        <w:ind w:firstLine="480" w:firstLineChars="200"/>
        <w:rPr>
          <w:b/>
          <w:bCs/>
          <w:color w:val="auto"/>
          <w:szCs w:val="28"/>
          <w:highlight w:val="none"/>
        </w:rPr>
      </w:pPr>
      <w:r>
        <w:rPr>
          <w:rFonts w:ascii="Times New Roman" w:hAnsi="Times New Roman" w:cs="Times New Roman"/>
          <w:color w:val="auto"/>
          <w:sz w:val="24"/>
          <w:highlight w:val="none"/>
        </w:rPr>
        <w:t>格式自拟（包括设置固定的符合要求的仓储场所和运输车辆等相关配套设备，配送路线及保鲜保障条件、项目负责人、配送车辆及人员，提供仓储场所、车辆图片、行车证及运送人员（提供健康证等资料）情况、定期对人员、车辆消毒情况等）</w:t>
      </w:r>
    </w:p>
    <w:p>
      <w:pPr>
        <w:spacing w:line="460" w:lineRule="exact"/>
        <w:ind w:firstLine="480" w:firstLineChars="200"/>
        <w:rPr>
          <w:rFonts w:ascii="Times New Roman" w:hAnsi="Times New Roman" w:eastAsia="宋体" w:cs="Times New Roman"/>
          <w:color w:val="auto"/>
          <w:sz w:val="24"/>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日  期：</w:t>
      </w:r>
    </w:p>
    <w:p>
      <w:pPr>
        <w:pStyle w:val="2"/>
        <w:ind w:firstLine="480"/>
        <w:rPr>
          <w:rFonts w:ascii="Times New Roman" w:hAnsi="Times New Roman"/>
          <w:color w:val="auto"/>
          <w:sz w:val="24"/>
          <w:highlight w:val="none"/>
        </w:rPr>
      </w:pPr>
    </w:p>
    <w:p>
      <w:pPr>
        <w:rPr>
          <w:color w:val="auto"/>
          <w:highlight w:val="none"/>
        </w:rPr>
      </w:pPr>
    </w:p>
    <w:p>
      <w:pPr>
        <w:pStyle w:val="2"/>
        <w:ind w:firstLine="0" w:firstLineChars="0"/>
        <w:rPr>
          <w:rFonts w:ascii="宋体" w:hAnsi="宋体" w:cs="宋体"/>
          <w:color w:val="auto"/>
          <w:highlight w:val="none"/>
        </w:rPr>
        <w:sectPr>
          <w:pgSz w:w="11906" w:h="16838"/>
          <w:pgMar w:top="1440" w:right="1588" w:bottom="1440" w:left="1588" w:header="851" w:footer="992" w:gutter="0"/>
          <w:cols w:space="720" w:num="1"/>
          <w:docGrid w:type="lines" w:linePitch="312" w:charSpace="0"/>
        </w:sectPr>
      </w:pPr>
    </w:p>
    <w:p>
      <w:pPr>
        <w:spacing w:after="200" w:line="500" w:lineRule="exact"/>
        <w:ind w:firstLine="437"/>
        <w:jc w:val="cente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附件</w:t>
      </w:r>
      <w:r>
        <w:rPr>
          <w:rFonts w:ascii="Times New Roman" w:hAnsi="Times New Roman" w:eastAsia="宋体" w:cs="Times New Roman"/>
          <w:b/>
          <w:color w:val="auto"/>
          <w:sz w:val="24"/>
          <w:highlight w:val="none"/>
        </w:rPr>
        <w:t>1 ：项目负责人简历表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9"/>
        <w:gridCol w:w="745"/>
        <w:gridCol w:w="1355"/>
        <w:gridCol w:w="325"/>
        <w:gridCol w:w="185"/>
        <w:gridCol w:w="840"/>
        <w:gridCol w:w="723"/>
        <w:gridCol w:w="957"/>
        <w:gridCol w:w="435"/>
        <w:gridCol w:w="645"/>
        <w:gridCol w:w="825"/>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姓名</w:t>
            </w:r>
          </w:p>
        </w:tc>
        <w:tc>
          <w:tcPr>
            <w:tcW w:w="2610" w:type="dxa"/>
            <w:gridSpan w:val="4"/>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性别</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年龄</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职务</w:t>
            </w:r>
          </w:p>
        </w:tc>
        <w:tc>
          <w:tcPr>
            <w:tcW w:w="2610" w:type="dxa"/>
            <w:gridSpan w:val="4"/>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职称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学历</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419" w:type="dxa"/>
            <w:gridSpan w:val="3"/>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参加工作时间</w:t>
            </w:r>
          </w:p>
        </w:tc>
        <w:tc>
          <w:tcPr>
            <w:tcW w:w="2073" w:type="dxa"/>
            <w:gridSpan w:val="4"/>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2862" w:type="dxa"/>
            <w:gridSpan w:val="4"/>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项目负责人年限</w:t>
            </w:r>
          </w:p>
        </w:tc>
        <w:tc>
          <w:tcPr>
            <w:tcW w:w="131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9671" w:type="dxa"/>
            <w:gridSpan w:val="1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正在实施和已完项目情况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2064"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项目名称</w:t>
            </w:r>
          </w:p>
        </w:tc>
        <w:tc>
          <w:tcPr>
            <w:tcW w:w="1748" w:type="dxa"/>
            <w:gridSpan w:val="3"/>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采购内容及规模</w:t>
            </w:r>
          </w:p>
        </w:tc>
        <w:tc>
          <w:tcPr>
            <w:tcW w:w="1392"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合同时间</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在实施或已完</w:t>
            </w:r>
          </w:p>
        </w:tc>
        <w:tc>
          <w:tcPr>
            <w:tcW w:w="131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2064"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748" w:type="dxa"/>
            <w:gridSpan w:val="3"/>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2064"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748" w:type="dxa"/>
            <w:gridSpan w:val="3"/>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2064"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748" w:type="dxa"/>
            <w:gridSpan w:val="3"/>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2064"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748" w:type="dxa"/>
            <w:gridSpan w:val="3"/>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2064"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748" w:type="dxa"/>
            <w:gridSpan w:val="3"/>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2064"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748" w:type="dxa"/>
            <w:gridSpan w:val="3"/>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2064"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748" w:type="dxa"/>
            <w:gridSpan w:val="3"/>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after="200" w:line="360" w:lineRule="auto"/>
              <w:jc w:val="center"/>
              <w:rPr>
                <w:rFonts w:ascii="Times New Roman" w:hAnsi="Times New Roman" w:eastAsia="宋体" w:cs="Times New Roman"/>
                <w:color w:val="auto"/>
                <w:sz w:val="24"/>
                <w:highlight w:val="none"/>
              </w:rPr>
            </w:pPr>
          </w:p>
        </w:tc>
      </w:tr>
    </w:tbl>
    <w:p>
      <w:pPr>
        <w:rPr>
          <w:color w:val="auto"/>
          <w:highlight w:val="none"/>
        </w:rPr>
      </w:pPr>
      <w:bookmarkStart w:id="184" w:name="_Toc13535"/>
      <w:r>
        <w:rPr>
          <w:b/>
          <w:bCs/>
          <w:color w:val="auto"/>
          <w:highlight w:val="none"/>
        </w:rPr>
        <w:t>注：在此表后附人员身份证扫描件、健康证、驾驶证、相应的劳动合同原件扫描件、社保证明原件扫描件等相关资料。</w:t>
      </w:r>
      <w:bookmarkEnd w:id="184"/>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日  期：</w:t>
      </w: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spacing w:after="200" w:line="500" w:lineRule="exact"/>
        <w:ind w:firstLine="437"/>
        <w:jc w:val="cente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附件</w:t>
      </w:r>
      <w:r>
        <w:rPr>
          <w:rFonts w:ascii="Times New Roman" w:hAnsi="Times New Roman" w:eastAsia="宋体" w:cs="Times New Roman"/>
          <w:b/>
          <w:color w:val="auto"/>
          <w:sz w:val="24"/>
          <w:highlight w:val="none"/>
        </w:rPr>
        <w:t>2 ：配送人员一览表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559"/>
        <w:gridCol w:w="2268"/>
        <w:gridCol w:w="851"/>
        <w:gridCol w:w="85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384" w:type="dxa"/>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拟任职务</w:t>
            </w: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姓名</w:t>
            </w: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联系电话</w:t>
            </w: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身份证号码</w:t>
            </w:r>
          </w:p>
        </w:tc>
        <w:tc>
          <w:tcPr>
            <w:tcW w:w="851" w:type="dxa"/>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岗位</w:t>
            </w:r>
          </w:p>
        </w:tc>
        <w:tc>
          <w:tcPr>
            <w:tcW w:w="850" w:type="dxa"/>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职责</w:t>
            </w: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所持有的证书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Align w:val="center"/>
          </w:tcPr>
          <w:p>
            <w:pPr>
              <w:spacing w:after="200" w:line="360" w:lineRule="auto"/>
              <w:jc w:val="center"/>
              <w:rPr>
                <w:rFonts w:ascii="Times New Roman" w:hAnsi="Times New Roman" w:eastAsia="宋体" w:cs="Times New Roman"/>
                <w:color w:val="auto"/>
                <w:sz w:val="24"/>
                <w:highlight w:val="none"/>
              </w:rPr>
            </w:pP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p>
        </w:tc>
        <w:tc>
          <w:tcPr>
            <w:tcW w:w="851" w:type="dxa"/>
            <w:vAlign w:val="center"/>
          </w:tcPr>
          <w:p>
            <w:pPr>
              <w:spacing w:after="200" w:line="360" w:lineRule="auto"/>
              <w:jc w:val="center"/>
              <w:rPr>
                <w:rFonts w:ascii="Times New Roman" w:hAnsi="Times New Roman" w:eastAsia="宋体" w:cs="Times New Roman"/>
                <w:color w:val="auto"/>
                <w:sz w:val="24"/>
                <w:highlight w:val="none"/>
              </w:rPr>
            </w:pPr>
          </w:p>
        </w:tc>
        <w:tc>
          <w:tcPr>
            <w:tcW w:w="850" w:type="dxa"/>
            <w:vAlign w:val="center"/>
          </w:tcPr>
          <w:p>
            <w:pPr>
              <w:spacing w:after="200" w:line="360" w:lineRule="auto"/>
              <w:jc w:val="center"/>
              <w:rPr>
                <w:rFonts w:ascii="Times New Roman" w:hAnsi="Times New Roman" w:eastAsia="宋体" w:cs="Times New Roman"/>
                <w:color w:val="auto"/>
                <w:sz w:val="24"/>
                <w:highlight w:val="none"/>
              </w:rPr>
            </w:pP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Align w:val="center"/>
          </w:tcPr>
          <w:p>
            <w:pPr>
              <w:spacing w:after="200" w:line="360" w:lineRule="auto"/>
              <w:jc w:val="center"/>
              <w:rPr>
                <w:rFonts w:ascii="Times New Roman" w:hAnsi="Times New Roman" w:eastAsia="宋体" w:cs="Times New Roman"/>
                <w:color w:val="auto"/>
                <w:sz w:val="24"/>
                <w:highlight w:val="none"/>
              </w:rPr>
            </w:pP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p>
        </w:tc>
        <w:tc>
          <w:tcPr>
            <w:tcW w:w="851" w:type="dxa"/>
            <w:vAlign w:val="center"/>
          </w:tcPr>
          <w:p>
            <w:pPr>
              <w:spacing w:after="200" w:line="360" w:lineRule="auto"/>
              <w:jc w:val="center"/>
              <w:rPr>
                <w:rFonts w:ascii="Times New Roman" w:hAnsi="Times New Roman" w:eastAsia="宋体" w:cs="Times New Roman"/>
                <w:color w:val="auto"/>
                <w:sz w:val="24"/>
                <w:highlight w:val="none"/>
              </w:rPr>
            </w:pPr>
          </w:p>
        </w:tc>
        <w:tc>
          <w:tcPr>
            <w:tcW w:w="850" w:type="dxa"/>
            <w:vAlign w:val="center"/>
          </w:tcPr>
          <w:p>
            <w:pPr>
              <w:spacing w:after="200" w:line="360" w:lineRule="auto"/>
              <w:jc w:val="center"/>
              <w:rPr>
                <w:rFonts w:ascii="Times New Roman" w:hAnsi="Times New Roman" w:eastAsia="宋体" w:cs="Times New Roman"/>
                <w:color w:val="auto"/>
                <w:sz w:val="24"/>
                <w:highlight w:val="none"/>
              </w:rPr>
            </w:pP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Align w:val="center"/>
          </w:tcPr>
          <w:p>
            <w:pPr>
              <w:spacing w:after="200" w:line="360" w:lineRule="auto"/>
              <w:jc w:val="center"/>
              <w:rPr>
                <w:rFonts w:ascii="Times New Roman" w:hAnsi="Times New Roman" w:eastAsia="宋体" w:cs="Times New Roman"/>
                <w:color w:val="auto"/>
                <w:sz w:val="24"/>
                <w:highlight w:val="none"/>
              </w:rPr>
            </w:pP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p>
        </w:tc>
        <w:tc>
          <w:tcPr>
            <w:tcW w:w="851" w:type="dxa"/>
            <w:vAlign w:val="center"/>
          </w:tcPr>
          <w:p>
            <w:pPr>
              <w:spacing w:after="200" w:line="360" w:lineRule="auto"/>
              <w:jc w:val="center"/>
              <w:rPr>
                <w:rFonts w:ascii="Times New Roman" w:hAnsi="Times New Roman" w:eastAsia="宋体" w:cs="Times New Roman"/>
                <w:color w:val="auto"/>
                <w:sz w:val="24"/>
                <w:highlight w:val="none"/>
              </w:rPr>
            </w:pPr>
          </w:p>
        </w:tc>
        <w:tc>
          <w:tcPr>
            <w:tcW w:w="850" w:type="dxa"/>
            <w:vAlign w:val="center"/>
          </w:tcPr>
          <w:p>
            <w:pPr>
              <w:spacing w:after="200" w:line="360" w:lineRule="auto"/>
              <w:jc w:val="center"/>
              <w:rPr>
                <w:rFonts w:ascii="Times New Roman" w:hAnsi="Times New Roman" w:eastAsia="宋体" w:cs="Times New Roman"/>
                <w:color w:val="auto"/>
                <w:sz w:val="24"/>
                <w:highlight w:val="none"/>
              </w:rPr>
            </w:pP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Align w:val="center"/>
          </w:tcPr>
          <w:p>
            <w:pPr>
              <w:spacing w:after="200" w:line="360" w:lineRule="auto"/>
              <w:jc w:val="center"/>
              <w:rPr>
                <w:rFonts w:ascii="Times New Roman" w:hAnsi="Times New Roman" w:eastAsia="宋体" w:cs="Times New Roman"/>
                <w:color w:val="auto"/>
                <w:sz w:val="24"/>
                <w:highlight w:val="none"/>
              </w:rPr>
            </w:pP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p>
        </w:tc>
        <w:tc>
          <w:tcPr>
            <w:tcW w:w="851" w:type="dxa"/>
            <w:vAlign w:val="center"/>
          </w:tcPr>
          <w:p>
            <w:pPr>
              <w:spacing w:after="200" w:line="360" w:lineRule="auto"/>
              <w:jc w:val="center"/>
              <w:rPr>
                <w:rFonts w:ascii="Times New Roman" w:hAnsi="Times New Roman" w:eastAsia="宋体" w:cs="Times New Roman"/>
                <w:color w:val="auto"/>
                <w:sz w:val="24"/>
                <w:highlight w:val="none"/>
              </w:rPr>
            </w:pPr>
          </w:p>
        </w:tc>
        <w:tc>
          <w:tcPr>
            <w:tcW w:w="850" w:type="dxa"/>
            <w:vAlign w:val="center"/>
          </w:tcPr>
          <w:p>
            <w:pPr>
              <w:spacing w:after="200" w:line="360" w:lineRule="auto"/>
              <w:jc w:val="center"/>
              <w:rPr>
                <w:rFonts w:ascii="Times New Roman" w:hAnsi="Times New Roman" w:eastAsia="宋体" w:cs="Times New Roman"/>
                <w:color w:val="auto"/>
                <w:sz w:val="24"/>
                <w:highlight w:val="none"/>
              </w:rPr>
            </w:pP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Align w:val="center"/>
          </w:tcPr>
          <w:p>
            <w:pPr>
              <w:spacing w:after="200" w:line="360" w:lineRule="auto"/>
              <w:jc w:val="center"/>
              <w:rPr>
                <w:rFonts w:ascii="Times New Roman" w:hAnsi="Times New Roman" w:eastAsia="宋体" w:cs="Times New Roman"/>
                <w:color w:val="auto"/>
                <w:sz w:val="24"/>
                <w:highlight w:val="none"/>
              </w:rPr>
            </w:pP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p>
        </w:tc>
        <w:tc>
          <w:tcPr>
            <w:tcW w:w="851" w:type="dxa"/>
            <w:vAlign w:val="center"/>
          </w:tcPr>
          <w:p>
            <w:pPr>
              <w:spacing w:after="200" w:line="360" w:lineRule="auto"/>
              <w:jc w:val="center"/>
              <w:rPr>
                <w:rFonts w:ascii="Times New Roman" w:hAnsi="Times New Roman" w:eastAsia="宋体" w:cs="Times New Roman"/>
                <w:color w:val="auto"/>
                <w:sz w:val="24"/>
                <w:highlight w:val="none"/>
              </w:rPr>
            </w:pPr>
          </w:p>
        </w:tc>
        <w:tc>
          <w:tcPr>
            <w:tcW w:w="850" w:type="dxa"/>
            <w:vAlign w:val="center"/>
          </w:tcPr>
          <w:p>
            <w:pPr>
              <w:spacing w:after="200" w:line="360" w:lineRule="auto"/>
              <w:jc w:val="center"/>
              <w:rPr>
                <w:rFonts w:ascii="Times New Roman" w:hAnsi="Times New Roman" w:eastAsia="宋体" w:cs="Times New Roman"/>
                <w:color w:val="auto"/>
                <w:sz w:val="24"/>
                <w:highlight w:val="none"/>
              </w:rPr>
            </w:pP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Align w:val="center"/>
          </w:tcPr>
          <w:p>
            <w:pPr>
              <w:spacing w:after="200" w:line="360" w:lineRule="auto"/>
              <w:jc w:val="center"/>
              <w:rPr>
                <w:rFonts w:ascii="Times New Roman" w:hAnsi="Times New Roman" w:eastAsia="宋体" w:cs="Times New Roman"/>
                <w:color w:val="auto"/>
                <w:sz w:val="24"/>
                <w:highlight w:val="none"/>
              </w:rPr>
            </w:pP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p>
        </w:tc>
        <w:tc>
          <w:tcPr>
            <w:tcW w:w="851" w:type="dxa"/>
            <w:vAlign w:val="center"/>
          </w:tcPr>
          <w:p>
            <w:pPr>
              <w:spacing w:after="200" w:line="360" w:lineRule="auto"/>
              <w:jc w:val="center"/>
              <w:rPr>
                <w:rFonts w:ascii="Times New Roman" w:hAnsi="Times New Roman" w:eastAsia="宋体" w:cs="Times New Roman"/>
                <w:color w:val="auto"/>
                <w:sz w:val="24"/>
                <w:highlight w:val="none"/>
              </w:rPr>
            </w:pPr>
          </w:p>
        </w:tc>
        <w:tc>
          <w:tcPr>
            <w:tcW w:w="850" w:type="dxa"/>
            <w:vAlign w:val="center"/>
          </w:tcPr>
          <w:p>
            <w:pPr>
              <w:spacing w:after="200" w:line="360" w:lineRule="auto"/>
              <w:jc w:val="center"/>
              <w:rPr>
                <w:rFonts w:ascii="Times New Roman" w:hAnsi="Times New Roman" w:eastAsia="宋体" w:cs="Times New Roman"/>
                <w:color w:val="auto"/>
                <w:sz w:val="24"/>
                <w:highlight w:val="none"/>
              </w:rPr>
            </w:pP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Align w:val="center"/>
          </w:tcPr>
          <w:p>
            <w:pPr>
              <w:spacing w:after="200" w:line="276" w:lineRule="auto"/>
              <w:jc w:val="center"/>
              <w:rPr>
                <w:rFonts w:ascii="Times New Roman" w:hAnsi="Times New Roman" w:eastAsia="宋体" w:cs="Times New Roman"/>
                <w:color w:val="auto"/>
                <w:sz w:val="24"/>
                <w:highlight w:val="none"/>
              </w:rPr>
            </w:pP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p>
        </w:tc>
        <w:tc>
          <w:tcPr>
            <w:tcW w:w="851" w:type="dxa"/>
            <w:vAlign w:val="center"/>
          </w:tcPr>
          <w:p>
            <w:pPr>
              <w:spacing w:after="200" w:line="360" w:lineRule="auto"/>
              <w:jc w:val="center"/>
              <w:rPr>
                <w:rFonts w:ascii="Times New Roman" w:hAnsi="Times New Roman" w:eastAsia="宋体" w:cs="Times New Roman"/>
                <w:color w:val="auto"/>
                <w:sz w:val="24"/>
                <w:highlight w:val="none"/>
              </w:rPr>
            </w:pPr>
          </w:p>
        </w:tc>
        <w:tc>
          <w:tcPr>
            <w:tcW w:w="850" w:type="dxa"/>
            <w:vAlign w:val="center"/>
          </w:tcPr>
          <w:p>
            <w:pPr>
              <w:spacing w:after="200" w:line="360" w:lineRule="auto"/>
              <w:jc w:val="center"/>
              <w:rPr>
                <w:rFonts w:ascii="Times New Roman" w:hAnsi="Times New Roman" w:eastAsia="宋体" w:cs="Times New Roman"/>
                <w:color w:val="auto"/>
                <w:sz w:val="24"/>
                <w:highlight w:val="none"/>
              </w:rPr>
            </w:pP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Align w:val="center"/>
          </w:tcPr>
          <w:p>
            <w:pPr>
              <w:spacing w:after="200" w:line="360" w:lineRule="auto"/>
              <w:jc w:val="center"/>
              <w:rPr>
                <w:rFonts w:ascii="Times New Roman" w:hAnsi="Times New Roman" w:eastAsia="宋体" w:cs="Times New Roman"/>
                <w:color w:val="auto"/>
                <w:sz w:val="24"/>
                <w:highlight w:val="none"/>
              </w:rPr>
            </w:pP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p>
        </w:tc>
        <w:tc>
          <w:tcPr>
            <w:tcW w:w="851" w:type="dxa"/>
            <w:vAlign w:val="center"/>
          </w:tcPr>
          <w:p>
            <w:pPr>
              <w:spacing w:after="200" w:line="360" w:lineRule="auto"/>
              <w:jc w:val="center"/>
              <w:rPr>
                <w:rFonts w:ascii="Times New Roman" w:hAnsi="Times New Roman" w:eastAsia="宋体" w:cs="Times New Roman"/>
                <w:color w:val="auto"/>
                <w:sz w:val="24"/>
                <w:highlight w:val="none"/>
              </w:rPr>
            </w:pPr>
          </w:p>
        </w:tc>
        <w:tc>
          <w:tcPr>
            <w:tcW w:w="850" w:type="dxa"/>
            <w:vAlign w:val="center"/>
          </w:tcPr>
          <w:p>
            <w:pPr>
              <w:spacing w:after="200" w:line="360" w:lineRule="auto"/>
              <w:jc w:val="center"/>
              <w:rPr>
                <w:rFonts w:ascii="Times New Roman" w:hAnsi="Times New Roman" w:eastAsia="宋体" w:cs="Times New Roman"/>
                <w:color w:val="auto"/>
                <w:sz w:val="24"/>
                <w:highlight w:val="none"/>
              </w:rPr>
            </w:pP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Align w:val="center"/>
          </w:tcPr>
          <w:p>
            <w:pPr>
              <w:spacing w:after="200" w:line="276" w:lineRule="auto"/>
              <w:jc w:val="center"/>
              <w:rPr>
                <w:rFonts w:ascii="Times New Roman" w:hAnsi="Times New Roman" w:eastAsia="宋体" w:cs="Times New Roman"/>
                <w:color w:val="auto"/>
                <w:sz w:val="24"/>
                <w:highlight w:val="none"/>
              </w:rPr>
            </w:pP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p>
        </w:tc>
        <w:tc>
          <w:tcPr>
            <w:tcW w:w="851" w:type="dxa"/>
            <w:vAlign w:val="center"/>
          </w:tcPr>
          <w:p>
            <w:pPr>
              <w:spacing w:after="200" w:line="360" w:lineRule="auto"/>
              <w:jc w:val="center"/>
              <w:rPr>
                <w:rFonts w:ascii="Times New Roman" w:hAnsi="Times New Roman" w:eastAsia="宋体" w:cs="Times New Roman"/>
                <w:color w:val="auto"/>
                <w:sz w:val="24"/>
                <w:highlight w:val="none"/>
              </w:rPr>
            </w:pPr>
          </w:p>
        </w:tc>
        <w:tc>
          <w:tcPr>
            <w:tcW w:w="850" w:type="dxa"/>
            <w:vAlign w:val="center"/>
          </w:tcPr>
          <w:p>
            <w:pPr>
              <w:spacing w:after="200" w:line="360" w:lineRule="auto"/>
              <w:jc w:val="center"/>
              <w:rPr>
                <w:rFonts w:ascii="Times New Roman" w:hAnsi="Times New Roman" w:eastAsia="宋体" w:cs="Times New Roman"/>
                <w:color w:val="auto"/>
                <w:sz w:val="24"/>
                <w:highlight w:val="none"/>
              </w:rPr>
            </w:pP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Align w:val="center"/>
          </w:tcPr>
          <w:p>
            <w:pPr>
              <w:spacing w:after="200" w:line="360" w:lineRule="auto"/>
              <w:jc w:val="center"/>
              <w:rPr>
                <w:rFonts w:ascii="Times New Roman" w:hAnsi="Times New Roman" w:eastAsia="宋体" w:cs="Times New Roman"/>
                <w:color w:val="auto"/>
                <w:sz w:val="24"/>
                <w:highlight w:val="none"/>
              </w:rPr>
            </w:pP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p>
        </w:tc>
        <w:tc>
          <w:tcPr>
            <w:tcW w:w="851" w:type="dxa"/>
            <w:vAlign w:val="center"/>
          </w:tcPr>
          <w:p>
            <w:pPr>
              <w:spacing w:after="200" w:line="360" w:lineRule="auto"/>
              <w:jc w:val="center"/>
              <w:rPr>
                <w:rFonts w:ascii="Times New Roman" w:hAnsi="Times New Roman" w:eastAsia="宋体" w:cs="Times New Roman"/>
                <w:color w:val="auto"/>
                <w:sz w:val="24"/>
                <w:highlight w:val="none"/>
              </w:rPr>
            </w:pPr>
          </w:p>
        </w:tc>
        <w:tc>
          <w:tcPr>
            <w:tcW w:w="850" w:type="dxa"/>
            <w:vAlign w:val="center"/>
          </w:tcPr>
          <w:p>
            <w:pPr>
              <w:spacing w:after="200" w:line="360" w:lineRule="auto"/>
              <w:jc w:val="center"/>
              <w:rPr>
                <w:rFonts w:ascii="Times New Roman" w:hAnsi="Times New Roman" w:eastAsia="宋体" w:cs="Times New Roman"/>
                <w:color w:val="auto"/>
                <w:sz w:val="24"/>
                <w:highlight w:val="none"/>
              </w:rPr>
            </w:pP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4" w:type="dxa"/>
            <w:vAlign w:val="center"/>
          </w:tcPr>
          <w:p>
            <w:pPr>
              <w:spacing w:after="200" w:line="276" w:lineRule="auto"/>
              <w:jc w:val="center"/>
              <w:rPr>
                <w:rFonts w:ascii="Times New Roman" w:hAnsi="Times New Roman" w:eastAsia="宋体" w:cs="Times New Roman"/>
                <w:color w:val="auto"/>
                <w:sz w:val="24"/>
                <w:highlight w:val="none"/>
              </w:rPr>
            </w:pPr>
          </w:p>
        </w:tc>
        <w:tc>
          <w:tcPr>
            <w:tcW w:w="1134" w:type="dxa"/>
            <w:vAlign w:val="center"/>
          </w:tcPr>
          <w:p>
            <w:pPr>
              <w:spacing w:after="200" w:line="360" w:lineRule="auto"/>
              <w:jc w:val="center"/>
              <w:rPr>
                <w:rFonts w:ascii="Times New Roman" w:hAnsi="Times New Roman" w:eastAsia="宋体" w:cs="Times New Roman"/>
                <w:color w:val="auto"/>
                <w:sz w:val="24"/>
                <w:highlight w:val="none"/>
              </w:rPr>
            </w:pPr>
          </w:p>
        </w:tc>
        <w:tc>
          <w:tcPr>
            <w:tcW w:w="1559" w:type="dxa"/>
            <w:vAlign w:val="center"/>
          </w:tcPr>
          <w:p>
            <w:pPr>
              <w:spacing w:after="200" w:line="360" w:lineRule="auto"/>
              <w:jc w:val="center"/>
              <w:rPr>
                <w:rFonts w:ascii="Times New Roman" w:hAnsi="Times New Roman" w:eastAsia="宋体" w:cs="Times New Roman"/>
                <w:color w:val="auto"/>
                <w:sz w:val="24"/>
                <w:highlight w:val="none"/>
              </w:rPr>
            </w:pPr>
          </w:p>
        </w:tc>
        <w:tc>
          <w:tcPr>
            <w:tcW w:w="2268" w:type="dxa"/>
            <w:vAlign w:val="center"/>
          </w:tcPr>
          <w:p>
            <w:pPr>
              <w:spacing w:after="200" w:line="360" w:lineRule="auto"/>
              <w:jc w:val="center"/>
              <w:rPr>
                <w:rFonts w:ascii="Times New Roman" w:hAnsi="Times New Roman" w:eastAsia="宋体" w:cs="Times New Roman"/>
                <w:color w:val="auto"/>
                <w:sz w:val="24"/>
                <w:highlight w:val="none"/>
              </w:rPr>
            </w:pPr>
          </w:p>
        </w:tc>
        <w:tc>
          <w:tcPr>
            <w:tcW w:w="851" w:type="dxa"/>
            <w:vAlign w:val="center"/>
          </w:tcPr>
          <w:p>
            <w:pPr>
              <w:spacing w:after="200" w:line="360" w:lineRule="auto"/>
              <w:jc w:val="center"/>
              <w:rPr>
                <w:rFonts w:ascii="Times New Roman" w:hAnsi="Times New Roman" w:eastAsia="宋体" w:cs="Times New Roman"/>
                <w:color w:val="auto"/>
                <w:sz w:val="24"/>
                <w:highlight w:val="none"/>
              </w:rPr>
            </w:pPr>
          </w:p>
        </w:tc>
        <w:tc>
          <w:tcPr>
            <w:tcW w:w="850" w:type="dxa"/>
            <w:vAlign w:val="center"/>
          </w:tcPr>
          <w:p>
            <w:pPr>
              <w:spacing w:after="200" w:line="360" w:lineRule="auto"/>
              <w:jc w:val="center"/>
              <w:rPr>
                <w:rFonts w:ascii="Times New Roman" w:hAnsi="Times New Roman" w:eastAsia="宋体" w:cs="Times New Roman"/>
                <w:color w:val="auto"/>
                <w:sz w:val="24"/>
                <w:highlight w:val="none"/>
              </w:rPr>
            </w:pPr>
          </w:p>
        </w:tc>
        <w:tc>
          <w:tcPr>
            <w:tcW w:w="1701" w:type="dxa"/>
            <w:vAlign w:val="center"/>
          </w:tcPr>
          <w:p>
            <w:pPr>
              <w:spacing w:after="200" w:line="360" w:lineRule="auto"/>
              <w:jc w:val="center"/>
              <w:rPr>
                <w:rFonts w:ascii="Times New Roman" w:hAnsi="Times New Roman" w:eastAsia="宋体" w:cs="Times New Roman"/>
                <w:color w:val="auto"/>
                <w:sz w:val="24"/>
                <w:highlight w:val="none"/>
              </w:rPr>
            </w:pPr>
          </w:p>
        </w:tc>
      </w:tr>
    </w:tbl>
    <w:p>
      <w:pPr>
        <w:rPr>
          <w:color w:val="auto"/>
          <w:highlight w:val="none"/>
        </w:rPr>
      </w:pPr>
      <w:bookmarkStart w:id="185" w:name="_Toc18958"/>
      <w:bookmarkStart w:id="186" w:name="_Toc31341"/>
      <w:r>
        <w:rPr>
          <w:b/>
          <w:bCs/>
          <w:color w:val="auto"/>
          <w:highlight w:val="none"/>
        </w:rPr>
        <w:t>注：在此表后附人员身份证扫描件、健康证、驾驶证、等相关资料。</w:t>
      </w:r>
      <w:bookmarkEnd w:id="185"/>
      <w:bookmarkEnd w:id="186"/>
    </w:p>
    <w:p>
      <w:pPr>
        <w:spacing w:after="200" w:line="276" w:lineRule="auto"/>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日  期：</w:t>
      </w: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ind w:firstLine="420"/>
        <w:rPr>
          <w:rFonts w:ascii="Times New Roman" w:hAnsi="Times New Roman" w:eastAsia="宋体" w:cs="Times New Roman"/>
          <w:color w:val="auto"/>
          <w:sz w:val="24"/>
          <w:highlight w:val="none"/>
        </w:rPr>
      </w:pPr>
    </w:p>
    <w:p>
      <w:pPr>
        <w:spacing w:after="200" w:line="500" w:lineRule="exact"/>
        <w:ind w:firstLine="437"/>
        <w:jc w:val="cente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附件</w:t>
      </w:r>
      <w:r>
        <w:rPr>
          <w:rFonts w:ascii="Times New Roman" w:hAnsi="Times New Roman" w:eastAsia="宋体" w:cs="Times New Roman"/>
          <w:b/>
          <w:color w:val="auto"/>
          <w:sz w:val="24"/>
          <w:highlight w:val="none"/>
        </w:rPr>
        <w:t>3 ：拟投入的主要机械仪器、车辆汇总表</w:t>
      </w:r>
    </w:p>
    <w:tbl>
      <w:tblPr>
        <w:tblStyle w:val="25"/>
        <w:tblpPr w:leftFromText="180" w:rightFromText="180" w:topFromText="100" w:bottomFromText="100" w:vertAnchor="text" w:horzAnchor="margin" w:tblpXSpec="center" w:tblpY="1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58"/>
        <w:gridCol w:w="1337"/>
        <w:gridCol w:w="1172"/>
        <w:gridCol w:w="227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after="200" w:line="48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序号</w:t>
            </w:r>
          </w:p>
        </w:tc>
        <w:tc>
          <w:tcPr>
            <w:tcW w:w="2058"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机械或设备名称</w:t>
            </w:r>
          </w:p>
        </w:tc>
        <w:tc>
          <w:tcPr>
            <w:tcW w:w="133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型号规格</w:t>
            </w:r>
          </w:p>
        </w:tc>
        <w:tc>
          <w:tcPr>
            <w:tcW w:w="1172"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数量</w:t>
            </w:r>
          </w:p>
        </w:tc>
        <w:tc>
          <w:tcPr>
            <w:tcW w:w="227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用途</w:t>
            </w:r>
          </w:p>
        </w:tc>
        <w:tc>
          <w:tcPr>
            <w:tcW w:w="1595"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after="200" w:line="48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p>
        </w:tc>
        <w:tc>
          <w:tcPr>
            <w:tcW w:w="2058"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after="200" w:line="48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p>
        </w:tc>
        <w:tc>
          <w:tcPr>
            <w:tcW w:w="2058"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after="200" w:line="48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p>
        </w:tc>
        <w:tc>
          <w:tcPr>
            <w:tcW w:w="2058"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after="200" w:line="48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w:t>
            </w:r>
          </w:p>
        </w:tc>
        <w:tc>
          <w:tcPr>
            <w:tcW w:w="2058"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after="200" w:line="48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w:t>
            </w:r>
          </w:p>
        </w:tc>
        <w:tc>
          <w:tcPr>
            <w:tcW w:w="2058"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after="200" w:line="48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w:t>
            </w:r>
          </w:p>
        </w:tc>
        <w:tc>
          <w:tcPr>
            <w:tcW w:w="2058"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after="200" w:line="48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w:t>
            </w:r>
          </w:p>
        </w:tc>
        <w:tc>
          <w:tcPr>
            <w:tcW w:w="2058"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after="200" w:line="48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8</w:t>
            </w:r>
          </w:p>
        </w:tc>
        <w:tc>
          <w:tcPr>
            <w:tcW w:w="2058"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after="200" w:line="480" w:lineRule="exact"/>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9</w:t>
            </w:r>
          </w:p>
        </w:tc>
        <w:tc>
          <w:tcPr>
            <w:tcW w:w="2058"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2058"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pPr>
              <w:spacing w:after="200" w:line="480" w:lineRule="exact"/>
              <w:rPr>
                <w:rFonts w:ascii="Times New Roman" w:hAnsi="Times New Roman" w:eastAsia="宋体" w:cs="Times New Roman"/>
                <w:color w:val="auto"/>
                <w:sz w:val="24"/>
                <w:highlight w:val="none"/>
              </w:rPr>
            </w:pPr>
          </w:p>
        </w:tc>
      </w:tr>
    </w:tbl>
    <w:p>
      <w:pPr>
        <w:rPr>
          <w:b/>
          <w:bCs/>
          <w:color w:val="auto"/>
          <w:highlight w:val="none"/>
        </w:rPr>
      </w:pPr>
      <w:r>
        <w:rPr>
          <w:b/>
          <w:bCs/>
          <w:color w:val="auto"/>
          <w:highlight w:val="none"/>
        </w:rPr>
        <w:t>注：应包括完成项目所需车辆及检测设备等，提供相关的车辆行车证扫描件及车辆图片，设备图片及购置发票等资料。</w:t>
      </w:r>
    </w:p>
    <w:p>
      <w:pPr>
        <w:spacing w:after="200" w:line="500" w:lineRule="exact"/>
        <w:ind w:firstLine="437"/>
        <w:jc w:val="center"/>
        <w:rPr>
          <w:rFonts w:ascii="Times New Roman" w:hAnsi="Times New Roman" w:eastAsia="宋体" w:cs="Times New Roman"/>
          <w:b/>
          <w:color w:val="auto"/>
          <w:sz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rPr>
          <w:rFonts w:ascii="Times New Roman" w:hAnsi="Times New Roman" w:eastAsia="宋体" w:cs="Times New Roman"/>
          <w:b/>
          <w:color w:val="auto"/>
          <w:sz w:val="24"/>
          <w:highlight w:val="none"/>
        </w:rPr>
      </w:pPr>
      <w:r>
        <w:rPr>
          <w:rFonts w:ascii="Times New Roman" w:hAnsi="Times New Roman" w:eastAsia="宋体" w:cs="Times New Roman"/>
          <w:color w:val="auto"/>
          <w:sz w:val="24"/>
          <w:highlight w:val="none"/>
        </w:rPr>
        <w:t>日  期：</w:t>
      </w:r>
    </w:p>
    <w:p>
      <w:pPr>
        <w:ind w:firstLine="420"/>
        <w:rPr>
          <w:rFonts w:ascii="Times New Roman" w:hAnsi="Times New Roman" w:eastAsia="宋体" w:cs="Times New Roman"/>
          <w:b/>
          <w:color w:val="auto"/>
          <w:sz w:val="24"/>
          <w:highlight w:val="none"/>
        </w:rPr>
      </w:pPr>
    </w:p>
    <w:p>
      <w:pPr>
        <w:ind w:firstLine="420"/>
        <w:rPr>
          <w:rFonts w:ascii="Times New Roman" w:hAnsi="Times New Roman" w:eastAsia="宋体" w:cs="Times New Roman"/>
          <w:b/>
          <w:color w:val="auto"/>
          <w:sz w:val="24"/>
          <w:highlight w:val="none"/>
        </w:rPr>
      </w:pPr>
    </w:p>
    <w:p>
      <w:pPr>
        <w:ind w:firstLine="420"/>
        <w:rPr>
          <w:rFonts w:ascii="Times New Roman" w:hAnsi="Times New Roman" w:eastAsia="宋体" w:cs="Times New Roman"/>
          <w:b/>
          <w:color w:val="auto"/>
          <w:sz w:val="24"/>
          <w:highlight w:val="none"/>
        </w:rPr>
      </w:pPr>
    </w:p>
    <w:p>
      <w:pPr>
        <w:ind w:firstLine="420"/>
        <w:rPr>
          <w:rFonts w:ascii="Times New Roman" w:hAnsi="Times New Roman" w:eastAsia="宋体" w:cs="Times New Roman"/>
          <w:b/>
          <w:color w:val="auto"/>
          <w:sz w:val="24"/>
          <w:highlight w:val="none"/>
        </w:rPr>
      </w:pPr>
    </w:p>
    <w:p>
      <w:pPr>
        <w:ind w:firstLine="420"/>
        <w:rPr>
          <w:rFonts w:ascii="Times New Roman" w:hAnsi="Times New Roman" w:eastAsia="宋体" w:cs="Times New Roman"/>
          <w:b/>
          <w:color w:val="auto"/>
          <w:sz w:val="24"/>
          <w:highlight w:val="none"/>
        </w:rPr>
      </w:pPr>
    </w:p>
    <w:p>
      <w:pPr>
        <w:ind w:firstLine="420"/>
        <w:rPr>
          <w:rFonts w:ascii="Times New Roman" w:hAnsi="Times New Roman" w:eastAsia="宋体" w:cs="Times New Roman"/>
          <w:b/>
          <w:color w:val="auto"/>
          <w:sz w:val="24"/>
          <w:highlight w:val="none"/>
        </w:rPr>
      </w:pPr>
    </w:p>
    <w:p>
      <w:pPr>
        <w:ind w:firstLine="420"/>
        <w:rPr>
          <w:rFonts w:ascii="Times New Roman" w:hAnsi="Times New Roman" w:eastAsia="宋体" w:cs="Times New Roman"/>
          <w:b/>
          <w:color w:val="auto"/>
          <w:sz w:val="24"/>
          <w:highlight w:val="none"/>
        </w:rPr>
      </w:pPr>
    </w:p>
    <w:p>
      <w:pPr>
        <w:spacing w:after="200" w:line="500" w:lineRule="exact"/>
        <w:ind w:firstLine="437"/>
        <w:jc w:val="cente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附件</w:t>
      </w:r>
      <w:r>
        <w:rPr>
          <w:rFonts w:ascii="Times New Roman" w:hAnsi="Times New Roman" w:eastAsia="宋体" w:cs="Times New Roman"/>
          <w:b/>
          <w:color w:val="auto"/>
          <w:sz w:val="24"/>
          <w:highlight w:val="none"/>
        </w:rPr>
        <w:t>4：仓储场所及分拣配送场所</w:t>
      </w:r>
    </w:p>
    <w:p>
      <w:pPr>
        <w:ind w:firstLine="480" w:firstLineChars="200"/>
        <w:rPr>
          <w:rFonts w:ascii="Times New Roman" w:hAnsi="Times New Roman" w:cs="Times New Roman"/>
          <w:color w:val="auto"/>
          <w:sz w:val="24"/>
          <w:highlight w:val="none"/>
        </w:rPr>
      </w:pPr>
      <w:r>
        <w:rPr>
          <w:rFonts w:ascii="Times New Roman" w:hAnsi="Times New Roman" w:eastAsia="宋体" w:cs="Times New Roman"/>
          <w:color w:val="auto"/>
          <w:sz w:val="24"/>
          <w:highlight w:val="none"/>
        </w:rPr>
        <w:t>提供仓储场所及分拣配送场所的实景图片、租房合同等相关证明资料。场所应符合安全、卫生、防疫等各方面要求。</w:t>
      </w:r>
    </w:p>
    <w:p>
      <w:pPr>
        <w:rPr>
          <w:rFonts w:ascii="Times New Roman" w:hAnsi="Times New Roman" w:eastAsia="宋体" w:cs="Times New Roman"/>
          <w:color w:val="auto"/>
          <w:sz w:val="24"/>
          <w:highlight w:val="none"/>
        </w:rPr>
      </w:pPr>
    </w:p>
    <w:p>
      <w:pPr>
        <w:pStyle w:val="2"/>
        <w:ind w:firstLine="480"/>
        <w:rPr>
          <w:rFonts w:ascii="Times New Roman" w:hAnsi="Times New Roman"/>
          <w:color w:val="auto"/>
          <w:sz w:val="24"/>
          <w:szCs w:val="24"/>
          <w:highlight w:val="none"/>
        </w:rPr>
      </w:pPr>
    </w:p>
    <w:p>
      <w:pPr>
        <w:rPr>
          <w:rFonts w:ascii="Times New Roman" w:hAnsi="Times New Roman" w:eastAsia="宋体" w:cs="Times New Roman"/>
          <w:color w:val="auto"/>
          <w:sz w:val="24"/>
          <w:highlight w:val="none"/>
        </w:rPr>
      </w:pPr>
    </w:p>
    <w:p>
      <w:pPr>
        <w:pStyle w:val="2"/>
        <w:ind w:firstLine="480"/>
        <w:rPr>
          <w:rFonts w:ascii="Times New Roman" w:hAnsi="Times New Roman"/>
          <w:color w:val="auto"/>
          <w:sz w:val="24"/>
          <w:szCs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日  期：</w:t>
      </w:r>
    </w:p>
    <w:p>
      <w:pPr>
        <w:pStyle w:val="2"/>
        <w:ind w:firstLine="400"/>
        <w:rPr>
          <w:rFonts w:ascii="宋体" w:hAnsi="宋体" w:cs="宋体"/>
          <w:color w:val="auto"/>
          <w:highlight w:val="none"/>
        </w:rPr>
      </w:pPr>
    </w:p>
    <w:p>
      <w:pPr>
        <w:rPr>
          <w:color w:val="auto"/>
          <w:highlight w:val="none"/>
        </w:rPr>
      </w:pPr>
    </w:p>
    <w:p>
      <w:pPr>
        <w:rPr>
          <w:rFonts w:ascii="宋体" w:hAnsi="宋体" w:eastAsia="宋体" w:cs="宋体"/>
          <w:color w:val="auto"/>
          <w:highlight w:val="none"/>
        </w:rPr>
      </w:pPr>
    </w:p>
    <w:p>
      <w:pPr>
        <w:pStyle w:val="2"/>
        <w:ind w:firstLine="400"/>
        <w:rPr>
          <w:color w:val="auto"/>
          <w:highlight w:val="none"/>
        </w:rPr>
      </w:pPr>
    </w:p>
    <w:p>
      <w:pPr>
        <w:pStyle w:val="11"/>
        <w:ind w:left="0" w:leftChars="0" w:right="1470"/>
        <w:rPr>
          <w:color w:val="auto"/>
          <w:sz w:val="24"/>
          <w:highlight w:val="none"/>
        </w:rPr>
        <w:sectPr>
          <w:pgSz w:w="11906" w:h="16838"/>
          <w:pgMar w:top="1440" w:right="1588" w:bottom="1440" w:left="1588" w:header="851" w:footer="992" w:gutter="0"/>
          <w:cols w:space="720" w:num="1"/>
          <w:docGrid w:type="lines" w:linePitch="312" w:charSpace="0"/>
        </w:sectPr>
      </w:pPr>
    </w:p>
    <w:p>
      <w:pPr>
        <w:pStyle w:val="5"/>
        <w:jc w:val="center"/>
        <w:rPr>
          <w:rFonts w:asciiTheme="minorEastAsia" w:hAnsiTheme="minorEastAsia" w:cstheme="minorEastAsia"/>
          <w:color w:val="auto"/>
          <w:sz w:val="28"/>
          <w:szCs w:val="28"/>
          <w:highlight w:val="none"/>
        </w:rPr>
      </w:pPr>
      <w:bookmarkStart w:id="187" w:name="_Toc25551"/>
      <w:r>
        <w:rPr>
          <w:rFonts w:ascii="Times New Roman" w:hAnsi="Times New Roman" w:cs="Times New Roman" w:eastAsiaTheme="minorEastAsia"/>
          <w:color w:val="auto"/>
          <w:szCs w:val="32"/>
          <w:highlight w:val="none"/>
        </w:rPr>
        <w:t>4.</w:t>
      </w:r>
      <w:r>
        <w:rPr>
          <w:rFonts w:hint="eastAsia" w:ascii="Times New Roman" w:hAnsi="Times New Roman" w:cs="Times New Roman" w:eastAsiaTheme="minorEastAsia"/>
          <w:color w:val="auto"/>
          <w:szCs w:val="32"/>
          <w:highlight w:val="none"/>
        </w:rPr>
        <w:t>10</w:t>
      </w:r>
      <w:r>
        <w:rPr>
          <w:rFonts w:ascii="Times New Roman" w:hAnsi="Times New Roman" w:cs="Times New Roman" w:eastAsiaTheme="minorEastAsia"/>
          <w:color w:val="auto"/>
          <w:szCs w:val="32"/>
          <w:highlight w:val="none"/>
        </w:rPr>
        <w:t xml:space="preserve"> </w:t>
      </w:r>
      <w:bookmarkStart w:id="188" w:name="_Toc52318224"/>
      <w:r>
        <w:rPr>
          <w:rFonts w:hint="eastAsia" w:ascii="Times New Roman" w:hAnsi="Times New Roman" w:cs="Times New Roman"/>
          <w:color w:val="auto"/>
          <w:szCs w:val="32"/>
          <w:highlight w:val="none"/>
        </w:rPr>
        <w:t>比选保证书</w:t>
      </w:r>
      <w:bookmarkEnd w:id="187"/>
      <w:bookmarkEnd w:id="188"/>
    </w:p>
    <w:p>
      <w:pPr>
        <w:adjustRightInd w:val="0"/>
        <w:snapToGrid w:val="0"/>
        <w:spacing w:line="360" w:lineRule="auto"/>
        <w:ind w:firstLine="482" w:firstLineChars="200"/>
        <w:jc w:val="center"/>
        <w:rPr>
          <w:rFonts w:ascii="宋体" w:hAnsi="宋体" w:eastAsia="宋体" w:cs="Times New Roman"/>
          <w:b/>
          <w:color w:val="auto"/>
          <w:sz w:val="24"/>
          <w:highlight w:val="none"/>
        </w:rPr>
      </w:pPr>
    </w:p>
    <w:p>
      <w:pPr>
        <w:spacing w:line="460" w:lineRule="exac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致：楚雄医药高等专科学校</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本保证书作为        （比选申请人）对贵单位组织的项目编号为      的项目，提供比选保证金的保证，保证金金额为               （人民币 大写）。</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一旦发生下述行为，我单位（或公司）将放弃追索比选保证金的权利：</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（1）从比选日起到比选申请文件有效期满前，比选申请人撤回比选申请；</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（2）在收到《中选通知书》后未能按成中选知书规定的时间地点与业主签订合同并提交履约保证金。</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（3）成交后未按规定交纳比选文件所规定的费用。</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（4）法律规定的其他情况。</w:t>
      </w:r>
    </w:p>
    <w:p>
      <w:pPr>
        <w:spacing w:line="4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本保证书自参加比选日起90日有效，除非贵方提前终止或解除本保证书。</w:t>
      </w:r>
    </w:p>
    <w:p>
      <w:pPr>
        <w:adjustRightInd w:val="0"/>
        <w:snapToGrid w:val="0"/>
        <w:spacing w:line="360" w:lineRule="auto"/>
        <w:ind w:firstLine="482" w:firstLineChars="200"/>
        <w:jc w:val="left"/>
        <w:rPr>
          <w:rFonts w:ascii="宋体" w:hAnsi="宋体" w:eastAsia="宋体" w:cs="Times New Roman"/>
          <w:b/>
          <w:color w:val="auto"/>
          <w:sz w:val="24"/>
          <w:highlight w:val="none"/>
        </w:rPr>
      </w:pPr>
    </w:p>
    <w:p>
      <w:pPr>
        <w:pStyle w:val="2"/>
        <w:ind w:firstLine="482"/>
        <w:rPr>
          <w:rFonts w:ascii="宋体" w:hAnsi="宋体"/>
          <w:b/>
          <w:color w:val="auto"/>
          <w:sz w:val="24"/>
          <w:highlight w:val="none"/>
        </w:rPr>
      </w:pPr>
    </w:p>
    <w:p>
      <w:pPr>
        <w:rPr>
          <w:rFonts w:ascii="宋体" w:hAnsi="宋体" w:eastAsia="宋体" w:cs="Times New Roman"/>
          <w:b/>
          <w:color w:val="auto"/>
          <w:sz w:val="24"/>
          <w:highlight w:val="none"/>
        </w:rPr>
      </w:pPr>
    </w:p>
    <w:p>
      <w:pPr>
        <w:pStyle w:val="2"/>
        <w:ind w:firstLine="482"/>
        <w:rPr>
          <w:rFonts w:ascii="宋体" w:hAnsi="宋体"/>
          <w:b/>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rPr>
          <w:rFonts w:ascii="宋体" w:hAnsi="宋体" w:eastAsia="宋体" w:cs="Times New Roman"/>
          <w:b/>
          <w:color w:val="auto"/>
          <w:sz w:val="24"/>
          <w:highlight w:val="none"/>
        </w:rPr>
      </w:pPr>
      <w:r>
        <w:rPr>
          <w:rFonts w:hint="eastAsia" w:ascii="Times New Roman" w:hAnsi="Times New Roman" w:eastAsia="宋体" w:cs="Times New Roman"/>
          <w:color w:val="auto"/>
          <w:sz w:val="24"/>
          <w:highlight w:val="none"/>
        </w:rPr>
        <w:t>日  期：</w:t>
      </w:r>
    </w:p>
    <w:p>
      <w:pPr>
        <w:pStyle w:val="11"/>
        <w:ind w:left="0" w:leftChars="0" w:right="1470"/>
        <w:rPr>
          <w:color w:val="auto"/>
          <w:sz w:val="24"/>
          <w:highlight w:val="none"/>
        </w:rPr>
      </w:pPr>
    </w:p>
    <w:p>
      <w:pPr>
        <w:pStyle w:val="11"/>
        <w:ind w:left="0" w:leftChars="0" w:right="1470"/>
        <w:rPr>
          <w:color w:val="auto"/>
          <w:sz w:val="24"/>
          <w:highlight w:val="none"/>
        </w:rPr>
      </w:pPr>
    </w:p>
    <w:p>
      <w:pPr>
        <w:pStyle w:val="11"/>
        <w:ind w:left="0" w:leftChars="0" w:right="1470"/>
        <w:rPr>
          <w:color w:val="auto"/>
          <w:sz w:val="24"/>
          <w:highlight w:val="none"/>
        </w:rPr>
      </w:pPr>
    </w:p>
    <w:p>
      <w:pPr>
        <w:pStyle w:val="11"/>
        <w:ind w:left="0" w:leftChars="0" w:right="1470"/>
        <w:rPr>
          <w:color w:val="auto"/>
          <w:sz w:val="24"/>
          <w:highlight w:val="none"/>
        </w:rPr>
        <w:sectPr>
          <w:pgSz w:w="11906" w:h="16838"/>
          <w:pgMar w:top="1440" w:right="1588" w:bottom="1440" w:left="1588" w:header="851" w:footer="992" w:gutter="0"/>
          <w:cols w:space="720" w:num="1"/>
          <w:docGrid w:type="lines" w:linePitch="312" w:charSpace="0"/>
        </w:sectPr>
      </w:pPr>
    </w:p>
    <w:bookmarkEnd w:id="178"/>
    <w:bookmarkEnd w:id="179"/>
    <w:bookmarkEnd w:id="180"/>
    <w:bookmarkEnd w:id="181"/>
    <w:p>
      <w:pPr>
        <w:pStyle w:val="5"/>
        <w:jc w:val="center"/>
        <w:rPr>
          <w:rFonts w:ascii="Times New Roman" w:hAnsi="Times New Roman" w:eastAsia="宋体" w:cs="Times New Roman"/>
          <w:color w:val="auto"/>
          <w:sz w:val="24"/>
          <w:highlight w:val="none"/>
        </w:rPr>
      </w:pPr>
      <w:bookmarkStart w:id="189" w:name="_Toc5966_WPSOffice_Level3"/>
      <w:bookmarkStart w:id="190" w:name="_Toc1785"/>
      <w:r>
        <w:rPr>
          <w:rFonts w:ascii="Times New Roman" w:hAnsi="Times New Roman" w:eastAsia="宋体" w:cs="Times New Roman"/>
          <w:color w:val="auto"/>
          <w:highlight w:val="none"/>
        </w:rPr>
        <w:t>4.</w:t>
      </w:r>
      <w:bookmarkEnd w:id="189"/>
      <w:r>
        <w:rPr>
          <w:rFonts w:hint="eastAsia" w:ascii="Times New Roman" w:hAnsi="Times New Roman" w:eastAsia="宋体" w:cs="Times New Roman"/>
          <w:color w:val="auto"/>
          <w:highlight w:val="none"/>
        </w:rPr>
        <w:t>1</w:t>
      </w:r>
      <w:bookmarkStart w:id="191" w:name="_Toc52318225"/>
      <w:r>
        <w:rPr>
          <w:rFonts w:hint="eastAsia" w:ascii="Times New Roman" w:hAnsi="Times New Roman" w:eastAsia="宋体" w:cs="Times New Roman"/>
          <w:color w:val="auto"/>
          <w:highlight w:val="none"/>
        </w:rPr>
        <w:t>1</w:t>
      </w:r>
      <w:bookmarkEnd w:id="191"/>
      <w:r>
        <w:rPr>
          <w:rFonts w:hint="eastAsia" w:ascii="Times New Roman" w:hAnsi="Times New Roman" w:eastAsia="宋体" w:cs="Times New Roman"/>
          <w:color w:val="auto"/>
          <w:highlight w:val="none"/>
        </w:rPr>
        <w:t xml:space="preserve"> 质量、安全保证方案</w:t>
      </w:r>
      <w:bookmarkEnd w:id="190"/>
    </w:p>
    <w:p>
      <w:pPr>
        <w:spacing w:after="200" w:line="500" w:lineRule="exact"/>
        <w:ind w:firstLine="495"/>
        <w:rPr>
          <w:rFonts w:ascii="Times New Roman" w:hAnsi="Times New Roman" w:eastAsia="宋体" w:cs="Times New Roman"/>
          <w:color w:val="auto"/>
          <w:sz w:val="24"/>
          <w:highlight w:val="none"/>
        </w:rPr>
      </w:pPr>
      <w:bookmarkStart w:id="192" w:name="_Toc413157581"/>
      <w:bookmarkStart w:id="193" w:name="_Toc424045121"/>
    </w:p>
    <w:bookmarkEnd w:id="192"/>
    <w:bookmarkEnd w:id="193"/>
    <w:p>
      <w:pPr>
        <w:spacing w:after="200" w:line="500" w:lineRule="exact"/>
        <w:ind w:firstLine="495"/>
        <w:jc w:val="center"/>
        <w:rPr>
          <w:rFonts w:ascii="Times New Roman" w:hAnsi="Times New Roman" w:eastAsia="宋体" w:cs="Times New Roman"/>
          <w:color w:val="auto"/>
          <w:sz w:val="24"/>
          <w:highlight w:val="none"/>
        </w:rPr>
      </w:pPr>
      <w:r>
        <w:rPr>
          <w:rFonts w:hint="eastAsia" w:ascii="Times New Roman" w:hAnsi="Times New Roman" w:eastAsia="宋体" w:cs="Times New Roman"/>
          <w:b/>
          <w:bCs/>
          <w:color w:val="auto"/>
          <w:sz w:val="32"/>
          <w:szCs w:val="32"/>
          <w:highlight w:val="none"/>
        </w:rPr>
        <w:t>质量、安全保证方案</w:t>
      </w:r>
    </w:p>
    <w:p>
      <w:pPr>
        <w:spacing w:after="200" w:line="500" w:lineRule="exact"/>
        <w:ind w:firstLine="437"/>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（比选申请人自行说明）</w:t>
      </w:r>
    </w:p>
    <w:p>
      <w:pPr>
        <w:spacing w:after="200" w:line="500" w:lineRule="exact"/>
        <w:ind w:firstLine="495"/>
        <w:rPr>
          <w:rFonts w:ascii="宋体" w:hAnsi="宋体" w:eastAsia="宋体" w:cs="宋体"/>
          <w:color w:val="auto"/>
          <w:highlight w:val="none"/>
          <w:u w:val="single"/>
        </w:rPr>
      </w:pPr>
    </w:p>
    <w:p>
      <w:pPr>
        <w:spacing w:after="200" w:line="500" w:lineRule="exact"/>
        <w:ind w:firstLine="49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针对贵单位的</w:t>
      </w:r>
      <w:r>
        <w:rPr>
          <w:rFonts w:ascii="Times New Roman" w:hAnsi="Times New Roman" w:eastAsia="宋体" w:cs="Times New Roman"/>
          <w:color w:val="auto"/>
          <w:sz w:val="24"/>
          <w:highlight w:val="none"/>
          <w:u w:val="single"/>
        </w:rPr>
        <w:t xml:space="preserve">    项目名称   </w:t>
      </w:r>
      <w:r>
        <w:rPr>
          <w:rFonts w:ascii="Times New Roman" w:hAnsi="Times New Roman" w:eastAsia="宋体" w:cs="Times New Roman"/>
          <w:color w:val="auto"/>
          <w:sz w:val="24"/>
          <w:highlight w:val="none"/>
        </w:rPr>
        <w:t>，若我公司中</w:t>
      </w:r>
      <w:r>
        <w:rPr>
          <w:rFonts w:hint="eastAsia" w:ascii="Times New Roman" w:hAnsi="Times New Roman" w:eastAsia="宋体" w:cs="Times New Roman"/>
          <w:color w:val="auto"/>
          <w:sz w:val="24"/>
          <w:highlight w:val="none"/>
        </w:rPr>
        <w:t>选</w:t>
      </w:r>
      <w:r>
        <w:rPr>
          <w:rFonts w:ascii="Times New Roman" w:hAnsi="Times New Roman" w:eastAsia="宋体" w:cs="Times New Roman"/>
          <w:color w:val="auto"/>
          <w:sz w:val="24"/>
          <w:highlight w:val="none"/>
        </w:rPr>
        <w:t>，将严格按照以下内容执行服务：</w:t>
      </w:r>
    </w:p>
    <w:p>
      <w:pPr>
        <w:numPr>
          <w:ilvl w:val="0"/>
          <w:numId w:val="5"/>
        </w:numPr>
        <w:spacing w:after="200" w:line="50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完全理解和接受</w:t>
      </w:r>
      <w:r>
        <w:rPr>
          <w:rFonts w:hint="eastAsia" w:ascii="Times New Roman" w:hAnsi="Times New Roman" w:eastAsia="宋体" w:cs="Times New Roman"/>
          <w:color w:val="auto"/>
          <w:sz w:val="24"/>
          <w:highlight w:val="none"/>
        </w:rPr>
        <w:t>比选</w:t>
      </w:r>
      <w:r>
        <w:rPr>
          <w:rFonts w:ascii="Times New Roman" w:hAnsi="Times New Roman" w:eastAsia="宋体" w:cs="Times New Roman"/>
          <w:color w:val="auto"/>
          <w:sz w:val="24"/>
          <w:highlight w:val="none"/>
        </w:rPr>
        <w:t>文件中对产品质量的一切规定的要求；</w:t>
      </w:r>
    </w:p>
    <w:p>
      <w:pPr>
        <w:numPr>
          <w:ilvl w:val="0"/>
          <w:numId w:val="5"/>
        </w:numPr>
        <w:spacing w:after="200" w:line="50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质量保证；</w:t>
      </w:r>
    </w:p>
    <w:p>
      <w:pPr>
        <w:numPr>
          <w:ilvl w:val="0"/>
          <w:numId w:val="5"/>
        </w:numPr>
        <w:spacing w:after="200" w:line="50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产品质保期限及质保期措施；</w:t>
      </w:r>
    </w:p>
    <w:p>
      <w:pPr>
        <w:numPr>
          <w:ilvl w:val="0"/>
          <w:numId w:val="5"/>
        </w:numPr>
        <w:spacing w:after="200" w:line="50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违约及处罚条款。</w:t>
      </w:r>
    </w:p>
    <w:p>
      <w:pPr>
        <w:ind w:firstLine="420"/>
        <w:rPr>
          <w:rFonts w:ascii="Times New Roman" w:hAnsi="Times New Roman" w:eastAsia="宋体" w:cs="Times New Roman"/>
          <w:color w:val="auto"/>
          <w:sz w:val="24"/>
          <w:highlight w:val="none"/>
        </w:rPr>
      </w:pPr>
    </w:p>
    <w:p>
      <w:pPr>
        <w:rPr>
          <w:rFonts w:ascii="宋体" w:hAnsi="宋体" w:eastAsia="宋体" w:cs="宋体"/>
          <w:color w:val="auto"/>
          <w:sz w:val="30"/>
          <w:szCs w:val="30"/>
          <w:highlight w:val="none"/>
        </w:rPr>
      </w:pPr>
      <w:r>
        <w:rPr>
          <w:rFonts w:ascii="Times New Roman" w:hAnsi="Times New Roman" w:eastAsia="宋体" w:cs="Times New Roman"/>
          <w:color w:val="auto"/>
          <w:sz w:val="24"/>
          <w:highlight w:val="none"/>
        </w:rPr>
        <w:t>注：承诺必须包含但不限于以上内容。</w:t>
      </w:r>
    </w:p>
    <w:p>
      <w:pPr>
        <w:spacing w:line="460" w:lineRule="exact"/>
        <w:ind w:firstLine="480" w:firstLineChars="200"/>
        <w:rPr>
          <w:rFonts w:ascii="Times New Roman" w:hAnsi="Times New Roman" w:eastAsia="宋体" w:cs="Times New Roman"/>
          <w:color w:val="auto"/>
          <w:sz w:val="24"/>
          <w:highlight w:val="none"/>
        </w:rPr>
      </w:pPr>
    </w:p>
    <w:p>
      <w:pPr>
        <w:spacing w:line="360" w:lineRule="auto"/>
        <w:ind w:firstLine="480" w:firstLineChars="200"/>
        <w:rPr>
          <w:rFonts w:ascii="宋体" w:hAnsi="宋体"/>
          <w:bCs/>
          <w:color w:val="auto"/>
          <w:sz w:val="24"/>
          <w:highlight w:val="none"/>
        </w:rPr>
      </w:pPr>
    </w:p>
    <w:p>
      <w:pPr>
        <w:spacing w:line="360" w:lineRule="auto"/>
        <w:ind w:firstLine="480" w:firstLineChars="200"/>
        <w:rPr>
          <w:rFonts w:ascii="宋体" w:hAnsi="宋体"/>
          <w:bCs/>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pStyle w:val="24"/>
        <w:ind w:firstLine="0" w:firstLineChars="0"/>
        <w:rPr>
          <w:color w:val="auto"/>
          <w:highlight w:val="none"/>
        </w:rPr>
      </w:pPr>
      <w:r>
        <w:rPr>
          <w:rFonts w:hint="eastAsia" w:ascii="Times New Roman" w:hAnsi="Times New Roman" w:eastAsia="宋体" w:cs="Times New Roman"/>
          <w:color w:val="auto"/>
          <w:sz w:val="24"/>
          <w:highlight w:val="none"/>
        </w:rPr>
        <w:t>日  期：</w:t>
      </w:r>
    </w:p>
    <w:p>
      <w:pPr>
        <w:pStyle w:val="24"/>
        <w:ind w:firstLine="0" w:firstLineChars="0"/>
        <w:rPr>
          <w:color w:val="auto"/>
          <w:highlight w:val="none"/>
        </w:rPr>
      </w:pPr>
    </w:p>
    <w:p>
      <w:pPr>
        <w:adjustRightInd w:val="0"/>
        <w:snapToGrid w:val="0"/>
        <w:spacing w:line="400" w:lineRule="exact"/>
        <w:ind w:left="-88" w:leftChars="-42" w:firstLine="133" w:firstLineChars="50"/>
        <w:rPr>
          <w:rFonts w:ascii="宋体" w:hAnsi="宋体" w:eastAsia="宋体" w:cs="宋体"/>
          <w:color w:val="auto"/>
          <w:spacing w:val="28"/>
          <w:szCs w:val="21"/>
          <w:highlight w:val="none"/>
        </w:rPr>
        <w:sectPr>
          <w:pgSz w:w="11906" w:h="16838"/>
          <w:pgMar w:top="1440" w:right="1800" w:bottom="1440" w:left="1800" w:header="851" w:footer="992" w:gutter="0"/>
          <w:cols w:space="425" w:num="1"/>
          <w:docGrid w:type="lines" w:linePitch="312" w:charSpace="0"/>
        </w:sectPr>
      </w:pPr>
    </w:p>
    <w:p>
      <w:pPr>
        <w:pStyle w:val="5"/>
        <w:jc w:val="center"/>
        <w:rPr>
          <w:rFonts w:ascii="Times New Roman" w:hAnsi="Times New Roman" w:eastAsia="宋体" w:cs="Times New Roman"/>
          <w:color w:val="auto"/>
          <w:highlight w:val="none"/>
        </w:rPr>
      </w:pPr>
      <w:bookmarkStart w:id="194" w:name="_Toc32149"/>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12</w:t>
      </w:r>
      <w:bookmarkStart w:id="195" w:name="_Toc52318226"/>
      <w:bookmarkStart w:id="196" w:name="_Toc32546"/>
      <w:r>
        <w:rPr>
          <w:rFonts w:hint="eastAsia" w:ascii="Times New Roman" w:hAnsi="Times New Roman" w:eastAsia="宋体" w:cs="Times New Roman"/>
          <w:color w:val="auto"/>
          <w:highlight w:val="none"/>
        </w:rPr>
        <w:t xml:space="preserve"> 业绩</w:t>
      </w:r>
      <w:bookmarkEnd w:id="194"/>
    </w:p>
    <w:p>
      <w:pPr>
        <w:rPr>
          <w:color w:val="auto"/>
          <w:highlight w:val="none"/>
        </w:rPr>
      </w:pPr>
    </w:p>
    <w:p>
      <w:pPr>
        <w:jc w:val="center"/>
        <w:rPr>
          <w:rFonts w:ascii="Times New Roman" w:hAnsi="Times New Roman" w:eastAsia="宋体" w:cs="Times New Roman"/>
          <w:b/>
          <w:color w:val="auto"/>
          <w:kern w:val="0"/>
          <w:highlight w:val="none"/>
        </w:rPr>
      </w:pPr>
      <w:r>
        <w:rPr>
          <w:rFonts w:ascii="Times New Roman" w:hAnsi="Times New Roman" w:cs="Times New Roman"/>
          <w:b/>
          <w:bCs/>
          <w:color w:val="auto"/>
          <w:sz w:val="28"/>
          <w:szCs w:val="28"/>
          <w:highlight w:val="none"/>
        </w:rPr>
        <w:t>近三年（20</w:t>
      </w:r>
      <w:r>
        <w:rPr>
          <w:rFonts w:hint="eastAsia" w:ascii="Times New Roman" w:hAnsi="Times New Roman" w:cs="Times New Roman"/>
          <w:b/>
          <w:bCs/>
          <w:color w:val="auto"/>
          <w:sz w:val="28"/>
          <w:szCs w:val="28"/>
          <w:highlight w:val="none"/>
        </w:rPr>
        <w:t>19</w:t>
      </w:r>
      <w:r>
        <w:rPr>
          <w:rFonts w:ascii="Times New Roman" w:hAnsi="Times New Roman" w:cs="Times New Roman"/>
          <w:b/>
          <w:bCs/>
          <w:color w:val="auto"/>
          <w:sz w:val="28"/>
          <w:szCs w:val="28"/>
          <w:highlight w:val="none"/>
        </w:rPr>
        <w:t>年1月至今）已完成或正在实施项目简况</w:t>
      </w:r>
    </w:p>
    <w:p>
      <w:pPr>
        <w:rPr>
          <w:rFonts w:ascii="Times New Roman" w:hAnsi="Times New Roman" w:eastAsia="宋体" w:cs="Times New Roman"/>
          <w:color w:val="auto"/>
          <w:highlight w:val="none"/>
        </w:rPr>
      </w:pPr>
    </w:p>
    <w:tbl>
      <w:tblPr>
        <w:tblStyle w:val="25"/>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835"/>
        <w:gridCol w:w="1276"/>
        <w:gridCol w:w="2126"/>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项目名称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合同</w:t>
            </w:r>
            <w:r>
              <w:rPr>
                <w:rFonts w:ascii="Times New Roman" w:hAnsi="Times New Roman" w:eastAsia="宋体" w:cs="Times New Roman"/>
                <w:color w:val="auto"/>
                <w:szCs w:val="21"/>
                <w:highlight w:val="none"/>
              </w:rPr>
              <w:t>金额（</w:t>
            </w:r>
            <w:r>
              <w:rPr>
                <w:rFonts w:hint="eastAsia" w:ascii="Times New Roman" w:hAnsi="Times New Roman" w:eastAsia="宋体" w:cs="Times New Roman"/>
                <w:color w:val="auto"/>
                <w:szCs w:val="21"/>
                <w:highlight w:val="none"/>
              </w:rPr>
              <w:t>万</w:t>
            </w:r>
            <w:r>
              <w:rPr>
                <w:rFonts w:ascii="Times New Roman" w:hAnsi="Times New Roman" w:eastAsia="宋体" w:cs="Times New Roman"/>
                <w:color w:val="auto"/>
                <w:szCs w:val="21"/>
                <w:highlight w:val="none"/>
              </w:rPr>
              <w:t>元）</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采购</w:t>
            </w:r>
            <w:r>
              <w:rPr>
                <w:rFonts w:ascii="Times New Roman" w:hAnsi="Times New Roman" w:eastAsia="宋体" w:cs="Times New Roman"/>
                <w:color w:val="auto"/>
                <w:szCs w:val="21"/>
                <w:highlight w:val="none"/>
              </w:rPr>
              <w:t>内容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采购人联系电话</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业主评价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w:t>
            </w: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color w:val="auto"/>
                <w:szCs w:val="21"/>
                <w:highlight w:val="none"/>
              </w:rPr>
            </w:pPr>
          </w:p>
        </w:tc>
      </w:tr>
    </w:tbl>
    <w:p>
      <w:pPr>
        <w:widowControl/>
        <w:spacing w:after="120"/>
        <w:ind w:right="1470" w:rightChars="700"/>
        <w:jc w:val="left"/>
        <w:rPr>
          <w:rFonts w:ascii="Times New Roman" w:hAnsi="Times New Roman" w:eastAsia="宋体" w:cs="Times New Roman"/>
          <w:color w:val="auto"/>
          <w:kern w:val="0"/>
          <w:sz w:val="20"/>
          <w:highlight w:val="none"/>
        </w:rPr>
      </w:pPr>
      <w:r>
        <w:rPr>
          <w:rFonts w:ascii="Times New Roman" w:hAnsi="Times New Roman" w:eastAsia="宋体" w:cs="Times New Roman"/>
          <w:color w:val="auto"/>
          <w:szCs w:val="21"/>
          <w:highlight w:val="none"/>
        </w:rPr>
        <w:t>注：</w:t>
      </w: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本表后附合同复印件</w:t>
      </w:r>
      <w:r>
        <w:rPr>
          <w:rFonts w:hint="eastAsia" w:ascii="Times New Roman" w:hAnsi="Times New Roman" w:eastAsia="宋体" w:cs="Times New Roman"/>
          <w:color w:val="auto"/>
          <w:szCs w:val="21"/>
          <w:highlight w:val="none"/>
        </w:rPr>
        <w:t>或中标通知书</w:t>
      </w:r>
      <w:r>
        <w:rPr>
          <w:rFonts w:ascii="Times New Roman" w:hAnsi="Times New Roman" w:eastAsia="宋体" w:cs="Times New Roman"/>
          <w:color w:val="auto"/>
          <w:szCs w:val="21"/>
          <w:highlight w:val="none"/>
        </w:rPr>
        <w:t>，按合同签订时间顺序填表。</w:t>
      </w:r>
    </w:p>
    <w:p>
      <w:pPr>
        <w:rPr>
          <w:rFonts w:ascii="Times New Roman" w:hAnsi="Times New Roman" w:eastAsia="宋体" w:cs="Times New Roman"/>
          <w:color w:val="auto"/>
          <w:kern w:val="0"/>
          <w:sz w:val="28"/>
          <w:szCs w:val="20"/>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pStyle w:val="2"/>
        <w:ind w:firstLine="0" w:firstLineChars="0"/>
        <w:rPr>
          <w:color w:val="auto"/>
          <w:highlight w:val="none"/>
        </w:rPr>
      </w:pPr>
      <w:r>
        <w:rPr>
          <w:rFonts w:hint="eastAsia" w:ascii="Times New Roman" w:hAnsi="Times New Roman"/>
          <w:color w:val="auto"/>
          <w:sz w:val="24"/>
          <w:highlight w:val="none"/>
        </w:rPr>
        <w:t>日  期：</w:t>
      </w:r>
    </w:p>
    <w:p>
      <w:pPr>
        <w:rPr>
          <w:color w:val="auto"/>
          <w:highlight w:val="none"/>
        </w:rPr>
      </w:pPr>
    </w:p>
    <w:p>
      <w:pPr>
        <w:pStyle w:val="2"/>
        <w:ind w:firstLine="0" w:firstLineChars="0"/>
        <w:rPr>
          <w:color w:val="auto"/>
          <w:highlight w:val="none"/>
        </w:rPr>
      </w:pPr>
    </w:p>
    <w:p>
      <w:pPr>
        <w:pStyle w:val="2"/>
        <w:ind w:firstLine="400"/>
        <w:rPr>
          <w:color w:val="auto"/>
          <w:highlight w:val="none"/>
        </w:rPr>
      </w:pPr>
    </w:p>
    <w:p>
      <w:pPr>
        <w:pStyle w:val="2"/>
        <w:ind w:firstLine="0" w:firstLineChars="0"/>
        <w:rPr>
          <w:color w:val="auto"/>
          <w:highlight w:val="none"/>
        </w:rPr>
        <w:sectPr>
          <w:pgSz w:w="11906" w:h="16838"/>
          <w:pgMar w:top="1440" w:right="1800" w:bottom="1440" w:left="1800" w:header="851" w:footer="992" w:gutter="0"/>
          <w:cols w:space="425" w:num="1"/>
          <w:docGrid w:type="lines" w:linePitch="312" w:charSpace="0"/>
        </w:sectPr>
      </w:pPr>
    </w:p>
    <w:p>
      <w:pPr>
        <w:pStyle w:val="5"/>
        <w:jc w:val="center"/>
        <w:rPr>
          <w:rFonts w:ascii="Times New Roman" w:hAnsi="Times New Roman" w:eastAsia="宋体" w:cs="Times New Roman"/>
          <w:color w:val="auto"/>
          <w:highlight w:val="none"/>
        </w:rPr>
      </w:pPr>
      <w:bookmarkStart w:id="197" w:name="_Toc30949"/>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 xml:space="preserve">13 </w:t>
      </w:r>
      <w:bookmarkStart w:id="198" w:name="_Toc26199"/>
      <w:bookmarkStart w:id="199" w:name="_Toc21515"/>
      <w:r>
        <w:rPr>
          <w:rFonts w:hint="eastAsia" w:ascii="Times New Roman" w:hAnsi="Times New Roman" w:eastAsia="宋体" w:cs="Times New Roman"/>
          <w:color w:val="auto"/>
          <w:highlight w:val="none"/>
        </w:rPr>
        <w:t>应急保障方案</w:t>
      </w:r>
      <w:bookmarkEnd w:id="197"/>
      <w:bookmarkEnd w:id="198"/>
      <w:bookmarkEnd w:id="199"/>
    </w:p>
    <w:p>
      <w:pPr>
        <w:rPr>
          <w:color w:val="auto"/>
          <w:highlight w:val="none"/>
        </w:rPr>
      </w:pPr>
    </w:p>
    <w:p>
      <w:pPr>
        <w:adjustRightInd w:val="0"/>
        <w:snapToGrid w:val="0"/>
        <w:spacing w:line="360" w:lineRule="auto"/>
        <w:ind w:firstLine="562" w:firstLineChars="200"/>
        <w:jc w:val="center"/>
        <w:rPr>
          <w:rFonts w:ascii="宋体" w:hAnsi="宋体" w:eastAsia="宋体" w:cs="Times New Roman"/>
          <w:b/>
          <w:color w:val="auto"/>
          <w:sz w:val="28"/>
          <w:szCs w:val="28"/>
          <w:highlight w:val="none"/>
        </w:rPr>
      </w:pPr>
    </w:p>
    <w:p>
      <w:pPr>
        <w:adjustRightInd w:val="0"/>
        <w:snapToGrid w:val="0"/>
        <w:spacing w:line="360" w:lineRule="auto"/>
        <w:ind w:firstLine="562" w:firstLineChars="200"/>
        <w:jc w:val="center"/>
        <w:rPr>
          <w:rFonts w:ascii="宋体" w:hAnsi="宋体" w:eastAsia="宋体" w:cs="Times New Roman"/>
          <w:b/>
          <w:color w:val="auto"/>
          <w:sz w:val="28"/>
          <w:szCs w:val="28"/>
          <w:highlight w:val="none"/>
        </w:rPr>
      </w:pPr>
    </w:p>
    <w:p>
      <w:pPr>
        <w:adjustRightInd w:val="0"/>
        <w:snapToGrid w:val="0"/>
        <w:spacing w:line="360" w:lineRule="auto"/>
        <w:ind w:firstLine="562" w:firstLineChars="200"/>
        <w:jc w:val="center"/>
        <w:rPr>
          <w:rFonts w:ascii="宋体" w:hAnsi="宋体" w:eastAsia="宋体" w:cs="Times New Roman"/>
          <w:b/>
          <w:color w:val="auto"/>
          <w:sz w:val="28"/>
          <w:szCs w:val="28"/>
          <w:highlight w:val="none"/>
        </w:rPr>
      </w:pPr>
    </w:p>
    <w:p>
      <w:pPr>
        <w:adjustRightInd w:val="0"/>
        <w:snapToGrid w:val="0"/>
        <w:spacing w:line="360" w:lineRule="auto"/>
        <w:ind w:firstLine="562" w:firstLineChars="200"/>
        <w:jc w:val="center"/>
        <w:rPr>
          <w:rFonts w:ascii="宋体" w:hAnsi="宋体" w:eastAsia="宋体" w:cs="Times New Roman"/>
          <w:b/>
          <w:color w:val="auto"/>
          <w:sz w:val="24"/>
          <w:highlight w:val="none"/>
        </w:rPr>
      </w:pPr>
      <w:r>
        <w:rPr>
          <w:rFonts w:hint="eastAsia" w:ascii="宋体" w:hAnsi="宋体" w:eastAsia="宋体" w:cs="Times New Roman"/>
          <w:b/>
          <w:color w:val="auto"/>
          <w:sz w:val="28"/>
          <w:szCs w:val="28"/>
          <w:highlight w:val="none"/>
        </w:rPr>
        <w:t>格式自拟</w:t>
      </w:r>
    </w:p>
    <w:p>
      <w:pPr>
        <w:pStyle w:val="2"/>
        <w:ind w:firstLine="0" w:firstLineChars="0"/>
        <w:rPr>
          <w:color w:val="auto"/>
          <w:highlight w:val="none"/>
        </w:rPr>
      </w:pPr>
    </w:p>
    <w:p>
      <w:pPr>
        <w:pStyle w:val="2"/>
        <w:ind w:firstLine="0" w:firstLineChars="0"/>
        <w:rPr>
          <w:color w:val="auto"/>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日  期：</w:t>
      </w:r>
    </w:p>
    <w:p>
      <w:pPr>
        <w:pStyle w:val="2"/>
        <w:ind w:firstLine="480"/>
        <w:rPr>
          <w:rFonts w:ascii="Times New Roman" w:hAnsi="Times New Roman"/>
          <w:color w:val="auto"/>
          <w:sz w:val="24"/>
          <w:highlight w:val="none"/>
        </w:rPr>
      </w:pPr>
    </w:p>
    <w:p>
      <w:pPr>
        <w:rPr>
          <w:rFonts w:ascii="Times New Roman" w:hAnsi="Times New Roman" w:eastAsia="宋体" w:cs="Times New Roman"/>
          <w:color w:val="auto"/>
          <w:sz w:val="24"/>
          <w:highlight w:val="none"/>
        </w:rPr>
      </w:pPr>
    </w:p>
    <w:p>
      <w:pPr>
        <w:pStyle w:val="2"/>
        <w:ind w:firstLine="400"/>
        <w:rPr>
          <w:color w:val="auto"/>
          <w:highlight w:val="none"/>
        </w:rPr>
        <w:sectPr>
          <w:pgSz w:w="11906" w:h="16838"/>
          <w:pgMar w:top="1440" w:right="1800" w:bottom="1440" w:left="1800" w:header="851" w:footer="992" w:gutter="0"/>
          <w:cols w:space="425" w:num="1"/>
          <w:docGrid w:type="lines" w:linePitch="312" w:charSpace="0"/>
        </w:sectPr>
      </w:pPr>
    </w:p>
    <w:p>
      <w:pPr>
        <w:pStyle w:val="5"/>
        <w:jc w:val="center"/>
        <w:rPr>
          <w:color w:val="auto"/>
          <w:highlight w:val="none"/>
        </w:rPr>
      </w:pPr>
      <w:bookmarkStart w:id="200" w:name="_Toc11064"/>
      <w:r>
        <w:rPr>
          <w:rFonts w:ascii="Times New Roman" w:hAnsi="Times New Roman" w:cs="Times New Roman"/>
          <w:color w:val="auto"/>
          <w:highlight w:val="none"/>
        </w:rPr>
        <w:t xml:space="preserve">4.14 </w:t>
      </w:r>
      <w:bookmarkStart w:id="201" w:name="_Toc14824"/>
      <w:bookmarkStart w:id="202" w:name="_Toc26297"/>
      <w:r>
        <w:rPr>
          <w:rFonts w:ascii="Times New Roman" w:hAnsi="Times New Roman" w:cs="Times New Roman"/>
          <w:color w:val="auto"/>
          <w:highlight w:val="none"/>
        </w:rPr>
        <w:t>疫情防控方案</w:t>
      </w:r>
      <w:bookmarkEnd w:id="200"/>
      <w:bookmarkEnd w:id="201"/>
      <w:bookmarkEnd w:id="202"/>
    </w:p>
    <w:p>
      <w:pPr>
        <w:rPr>
          <w:rFonts w:ascii="Times New Roman" w:hAnsi="Times New Roman" w:eastAsia="宋体" w:cs="Times New Roman"/>
          <w:color w:val="auto"/>
          <w:sz w:val="24"/>
          <w:highlight w:val="none"/>
        </w:rPr>
      </w:pPr>
    </w:p>
    <w:p>
      <w:pPr>
        <w:pStyle w:val="2"/>
        <w:ind w:firstLine="480"/>
        <w:rPr>
          <w:rFonts w:ascii="Times New Roman" w:hAnsi="Times New Roman"/>
          <w:color w:val="auto"/>
          <w:sz w:val="24"/>
          <w:highlight w:val="none"/>
        </w:rPr>
      </w:pPr>
    </w:p>
    <w:p>
      <w:pPr>
        <w:jc w:val="center"/>
        <w:rPr>
          <w:rFonts w:ascii="Times New Roman" w:hAnsi="Times New Roman" w:eastAsia="宋体" w:cs="Times New Roman"/>
          <w:color w:val="auto"/>
          <w:sz w:val="24"/>
          <w:highlight w:val="none"/>
        </w:rPr>
      </w:pPr>
      <w:r>
        <w:rPr>
          <w:rFonts w:hint="eastAsia" w:ascii="宋体" w:hAnsi="宋体" w:eastAsia="宋体" w:cs="Times New Roman"/>
          <w:b/>
          <w:color w:val="auto"/>
          <w:sz w:val="28"/>
          <w:szCs w:val="28"/>
          <w:highlight w:val="none"/>
        </w:rPr>
        <w:t>格式自拟</w:t>
      </w:r>
    </w:p>
    <w:p>
      <w:pPr>
        <w:pStyle w:val="2"/>
        <w:ind w:firstLine="480"/>
        <w:rPr>
          <w:rFonts w:ascii="Times New Roman" w:hAnsi="Times New Roman"/>
          <w:color w:val="auto"/>
          <w:sz w:val="24"/>
          <w:highlight w:val="none"/>
        </w:rPr>
      </w:pP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pStyle w:val="2"/>
        <w:ind w:firstLine="0" w:firstLineChars="0"/>
        <w:rPr>
          <w:rFonts w:ascii="Times New Roman" w:hAnsi="Times New Roman"/>
          <w:color w:val="auto"/>
          <w:sz w:val="24"/>
          <w:highlight w:val="none"/>
        </w:rPr>
      </w:pPr>
      <w:r>
        <w:rPr>
          <w:rFonts w:hint="eastAsia" w:ascii="Times New Roman" w:hAnsi="Times New Roman"/>
          <w:color w:val="auto"/>
          <w:sz w:val="24"/>
          <w:highlight w:val="none"/>
        </w:rPr>
        <w:t>日  期：</w:t>
      </w:r>
    </w:p>
    <w:p>
      <w:pPr>
        <w:rPr>
          <w:rFonts w:ascii="Times New Roman" w:hAnsi="Times New Roman" w:eastAsia="宋体" w:cs="Times New Roman"/>
          <w:color w:val="auto"/>
          <w:sz w:val="24"/>
          <w:highlight w:val="none"/>
        </w:rPr>
      </w:pPr>
    </w:p>
    <w:p>
      <w:pPr>
        <w:pStyle w:val="2"/>
        <w:ind w:firstLine="480"/>
        <w:rPr>
          <w:rFonts w:ascii="Times New Roman" w:hAnsi="Times New Roman"/>
          <w:color w:val="auto"/>
          <w:sz w:val="24"/>
          <w:highlight w:val="none"/>
        </w:rPr>
      </w:pPr>
    </w:p>
    <w:p>
      <w:pPr>
        <w:rPr>
          <w:color w:val="auto"/>
          <w:highlight w:val="none"/>
        </w:rPr>
      </w:pPr>
    </w:p>
    <w:p>
      <w:pPr>
        <w:rPr>
          <w:color w:val="auto"/>
          <w:highlight w:val="none"/>
        </w:rPr>
        <w:sectPr>
          <w:pgSz w:w="11906" w:h="16838"/>
          <w:pgMar w:top="1440" w:right="1800" w:bottom="1440" w:left="1800" w:header="851" w:footer="992" w:gutter="0"/>
          <w:cols w:space="425" w:num="1"/>
          <w:docGrid w:type="lines" w:linePitch="312" w:charSpace="0"/>
        </w:sectPr>
      </w:pPr>
    </w:p>
    <w:p>
      <w:pPr>
        <w:pStyle w:val="5"/>
        <w:jc w:val="center"/>
        <w:rPr>
          <w:color w:val="auto"/>
          <w:highlight w:val="none"/>
        </w:rPr>
      </w:pPr>
      <w:bookmarkStart w:id="203" w:name="_Toc8810"/>
      <w:r>
        <w:rPr>
          <w:rFonts w:ascii="Times New Roman" w:hAnsi="Times New Roman" w:cs="Times New Roman"/>
          <w:color w:val="auto"/>
          <w:highlight w:val="none"/>
        </w:rPr>
        <w:t xml:space="preserve">4.15 </w:t>
      </w:r>
      <w:bookmarkStart w:id="204" w:name="_Toc12143"/>
      <w:r>
        <w:rPr>
          <w:rFonts w:ascii="Times New Roman" w:hAnsi="Times New Roman" w:cs="Times New Roman"/>
          <w:color w:val="auto"/>
          <w:highlight w:val="none"/>
        </w:rPr>
        <w:t>专业检测能力</w:t>
      </w:r>
      <w:bookmarkEnd w:id="203"/>
      <w:bookmarkEnd w:id="204"/>
    </w:p>
    <w:p>
      <w:pPr>
        <w:pStyle w:val="2"/>
        <w:ind w:firstLine="400"/>
        <w:rPr>
          <w:color w:val="auto"/>
          <w:highlight w:val="none"/>
        </w:rPr>
      </w:pPr>
    </w:p>
    <w:p>
      <w:pPr>
        <w:rPr>
          <w:color w:val="auto"/>
          <w:highlight w:val="none"/>
        </w:rPr>
      </w:pPr>
    </w:p>
    <w:p>
      <w:pPr>
        <w:pStyle w:val="2"/>
        <w:ind w:firstLine="400"/>
        <w:rPr>
          <w:color w:val="auto"/>
          <w:highlight w:val="none"/>
        </w:rPr>
      </w:pPr>
    </w:p>
    <w:p>
      <w:pPr>
        <w:jc w:val="center"/>
        <w:rPr>
          <w:color w:val="auto"/>
          <w:sz w:val="24"/>
          <w:highlight w:val="none"/>
        </w:rPr>
      </w:pPr>
      <w:r>
        <w:rPr>
          <w:rFonts w:hint="eastAsia" w:ascii="宋体" w:hAnsi="宋体" w:eastAsia="宋体" w:cs="宋体"/>
          <w:color w:val="auto"/>
          <w:sz w:val="24"/>
          <w:highlight w:val="none"/>
        </w:rPr>
        <w:t>格式内容比选申请人自拟</w:t>
      </w:r>
    </w:p>
    <w:p>
      <w:pPr>
        <w:pStyle w:val="2"/>
        <w:ind w:firstLine="400"/>
        <w:rPr>
          <w:color w:val="auto"/>
          <w:highlight w:val="none"/>
        </w:rPr>
      </w:pPr>
    </w:p>
    <w:p>
      <w:pPr>
        <w:rPr>
          <w:color w:val="auto"/>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pStyle w:val="2"/>
        <w:ind w:firstLine="0" w:firstLineChars="0"/>
        <w:rPr>
          <w:color w:val="auto"/>
          <w:highlight w:val="none"/>
        </w:rPr>
      </w:pPr>
      <w:r>
        <w:rPr>
          <w:rFonts w:hint="eastAsia" w:ascii="Times New Roman" w:hAnsi="Times New Roman"/>
          <w:color w:val="auto"/>
          <w:sz w:val="24"/>
          <w:highlight w:val="none"/>
        </w:rPr>
        <w:t>日  期：</w:t>
      </w:r>
    </w:p>
    <w:p>
      <w:pPr>
        <w:rPr>
          <w:color w:val="auto"/>
          <w:highlight w:val="none"/>
        </w:rPr>
        <w:sectPr>
          <w:pgSz w:w="11906" w:h="16838"/>
          <w:pgMar w:top="1440" w:right="1800" w:bottom="1440" w:left="1800" w:header="851" w:footer="992" w:gutter="0"/>
          <w:cols w:space="425" w:num="1"/>
          <w:docGrid w:type="lines" w:linePitch="312" w:charSpace="0"/>
        </w:sectPr>
      </w:pPr>
    </w:p>
    <w:p>
      <w:pPr>
        <w:pStyle w:val="5"/>
        <w:jc w:val="center"/>
        <w:rPr>
          <w:color w:val="auto"/>
          <w:highlight w:val="none"/>
        </w:rPr>
      </w:pPr>
      <w:bookmarkStart w:id="205" w:name="_Toc24965"/>
      <w:r>
        <w:rPr>
          <w:rFonts w:ascii="Times New Roman" w:hAnsi="Times New Roman" w:cs="Times New Roman"/>
          <w:color w:val="auto"/>
          <w:highlight w:val="none"/>
        </w:rPr>
        <w:t xml:space="preserve">4.16 </w:t>
      </w:r>
      <w:bookmarkStart w:id="206" w:name="_Toc23607"/>
      <w:r>
        <w:rPr>
          <w:rFonts w:ascii="Times New Roman" w:hAnsi="Times New Roman" w:cs="Times New Roman"/>
          <w:color w:val="auto"/>
          <w:highlight w:val="none"/>
        </w:rPr>
        <w:t>产品来源证明</w:t>
      </w:r>
      <w:bookmarkEnd w:id="205"/>
      <w:bookmarkEnd w:id="206"/>
    </w:p>
    <w:p>
      <w:pPr>
        <w:pStyle w:val="2"/>
        <w:ind w:firstLine="400"/>
        <w:rPr>
          <w:color w:val="auto"/>
          <w:highlight w:val="none"/>
        </w:rPr>
      </w:pPr>
    </w:p>
    <w:p>
      <w:pPr>
        <w:pStyle w:val="2"/>
        <w:ind w:firstLine="400"/>
        <w:rPr>
          <w:color w:val="auto"/>
          <w:highlight w:val="none"/>
        </w:rPr>
      </w:pPr>
    </w:p>
    <w:p>
      <w:pPr>
        <w:rPr>
          <w:color w:val="auto"/>
          <w:highlight w:val="none"/>
        </w:rPr>
      </w:pPr>
    </w:p>
    <w:p>
      <w:pPr>
        <w:jc w:val="center"/>
        <w:rPr>
          <w:color w:val="auto"/>
          <w:sz w:val="24"/>
          <w:highlight w:val="none"/>
        </w:rPr>
      </w:pPr>
      <w:r>
        <w:rPr>
          <w:rFonts w:hint="eastAsia" w:ascii="宋体" w:hAnsi="宋体" w:eastAsia="宋体" w:cs="宋体"/>
          <w:color w:val="auto"/>
          <w:sz w:val="24"/>
          <w:highlight w:val="none"/>
        </w:rPr>
        <w:t>格式内容比选申请人自拟</w:t>
      </w:r>
    </w:p>
    <w:p>
      <w:pPr>
        <w:pStyle w:val="2"/>
        <w:ind w:firstLine="400"/>
        <w:rPr>
          <w:color w:val="auto"/>
          <w:highlight w:val="none"/>
        </w:rPr>
      </w:pPr>
    </w:p>
    <w:p>
      <w:pPr>
        <w:rPr>
          <w:color w:val="auto"/>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pStyle w:val="2"/>
        <w:ind w:firstLine="0" w:firstLineChars="0"/>
        <w:rPr>
          <w:color w:val="auto"/>
          <w:highlight w:val="none"/>
        </w:rPr>
      </w:pPr>
      <w:r>
        <w:rPr>
          <w:rFonts w:hint="eastAsia" w:ascii="Times New Roman" w:hAnsi="Times New Roman"/>
          <w:color w:val="auto"/>
          <w:sz w:val="24"/>
          <w:highlight w:val="none"/>
        </w:rPr>
        <w:t>日  期：</w:t>
      </w:r>
    </w:p>
    <w:p>
      <w:pPr>
        <w:rPr>
          <w:color w:val="auto"/>
          <w:highlight w:val="none"/>
        </w:rPr>
        <w:sectPr>
          <w:pgSz w:w="11906" w:h="16838"/>
          <w:pgMar w:top="1440" w:right="1800" w:bottom="1440" w:left="1800" w:header="851" w:footer="992" w:gutter="0"/>
          <w:cols w:space="425" w:num="1"/>
          <w:docGrid w:type="lines" w:linePitch="312" w:charSpace="0"/>
        </w:sectPr>
      </w:pPr>
    </w:p>
    <w:p>
      <w:pPr>
        <w:pStyle w:val="5"/>
        <w:jc w:val="center"/>
        <w:rPr>
          <w:color w:val="auto"/>
          <w:highlight w:val="none"/>
        </w:rPr>
      </w:pPr>
      <w:bookmarkStart w:id="207" w:name="_Toc2191"/>
      <w:r>
        <w:rPr>
          <w:rFonts w:ascii="Times New Roman" w:hAnsi="Times New Roman" w:cs="Times New Roman"/>
          <w:color w:val="auto"/>
          <w:highlight w:val="none"/>
        </w:rPr>
        <w:t>4.17 供货及服务承诺</w:t>
      </w:r>
      <w:bookmarkEnd w:id="207"/>
    </w:p>
    <w:p>
      <w:pPr>
        <w:rPr>
          <w:rStyle w:val="40"/>
          <w:color w:val="auto"/>
          <w:sz w:val="28"/>
          <w:szCs w:val="28"/>
          <w:highlight w:val="none"/>
        </w:rPr>
      </w:pPr>
    </w:p>
    <w:p>
      <w:pPr>
        <w:spacing w:after="200" w:line="500" w:lineRule="exact"/>
        <w:ind w:firstLine="437"/>
        <w:jc w:val="center"/>
        <w:rPr>
          <w:rFonts w:ascii="宋体" w:hAnsi="宋体" w:eastAsia="宋体" w:cs="宋体"/>
          <w:bCs/>
          <w:color w:val="auto"/>
          <w:sz w:val="24"/>
          <w:highlight w:val="none"/>
        </w:rPr>
      </w:pPr>
      <w:r>
        <w:rPr>
          <w:rFonts w:hint="eastAsia" w:ascii="宋体" w:hAnsi="宋体" w:eastAsia="宋体" w:cs="宋体"/>
          <w:b/>
          <w:color w:val="auto"/>
          <w:sz w:val="32"/>
          <w:szCs w:val="32"/>
          <w:highlight w:val="none"/>
        </w:rPr>
        <w:t>供货及服务承诺</w:t>
      </w:r>
    </w:p>
    <w:p>
      <w:pPr>
        <w:spacing w:after="200" w:line="500" w:lineRule="exact"/>
        <w:ind w:firstLine="437"/>
        <w:jc w:val="center"/>
        <w:rPr>
          <w:rFonts w:ascii="宋体" w:hAnsi="宋体" w:eastAsia="宋体" w:cs="宋体"/>
          <w:b/>
          <w:color w:val="auto"/>
          <w:sz w:val="36"/>
          <w:szCs w:val="36"/>
          <w:highlight w:val="none"/>
        </w:rPr>
      </w:pPr>
      <w:r>
        <w:rPr>
          <w:rFonts w:hint="eastAsia" w:ascii="宋体" w:hAnsi="宋体" w:eastAsia="宋体" w:cs="宋体"/>
          <w:bCs/>
          <w:color w:val="auto"/>
          <w:sz w:val="24"/>
          <w:highlight w:val="none"/>
        </w:rPr>
        <w:t>比选申请人自行说明</w:t>
      </w:r>
    </w:p>
    <w:p>
      <w:pPr>
        <w:spacing w:after="200" w:line="500" w:lineRule="exact"/>
        <w:rPr>
          <w:rFonts w:ascii="宋体" w:hAnsi="宋体" w:eastAsia="宋体" w:cs="宋体"/>
          <w:color w:val="auto"/>
          <w:highlight w:val="none"/>
        </w:rPr>
      </w:pPr>
      <w:r>
        <w:rPr>
          <w:rFonts w:hint="eastAsia" w:ascii="宋体" w:hAnsi="宋体" w:eastAsia="宋体" w:cs="宋体"/>
          <w:color w:val="auto"/>
          <w:highlight w:val="none"/>
        </w:rPr>
        <w:t xml:space="preserve">                        </w:t>
      </w:r>
    </w:p>
    <w:p>
      <w:pPr>
        <w:spacing w:after="200" w:line="500" w:lineRule="exact"/>
        <w:ind w:firstLine="49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针对贵单位的</w:t>
      </w:r>
      <w:r>
        <w:rPr>
          <w:rFonts w:ascii="Times New Roman" w:hAnsi="Times New Roman" w:eastAsia="宋体" w:cs="Times New Roman"/>
          <w:color w:val="auto"/>
          <w:sz w:val="24"/>
          <w:highlight w:val="none"/>
          <w:u w:val="single"/>
        </w:rPr>
        <w:t xml:space="preserve">    项目名称   </w:t>
      </w:r>
      <w:r>
        <w:rPr>
          <w:rFonts w:ascii="Times New Roman" w:hAnsi="Times New Roman" w:eastAsia="宋体" w:cs="Times New Roman"/>
          <w:color w:val="auto"/>
          <w:sz w:val="24"/>
          <w:highlight w:val="none"/>
        </w:rPr>
        <w:t>，若我公司中选，将严格按照以下内容执行供货服务：</w:t>
      </w:r>
    </w:p>
    <w:p>
      <w:pPr>
        <w:numPr>
          <w:ilvl w:val="0"/>
          <w:numId w:val="6"/>
        </w:numPr>
        <w:spacing w:after="200"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供货服务期限；</w:t>
      </w:r>
    </w:p>
    <w:p>
      <w:pPr>
        <w:numPr>
          <w:ilvl w:val="0"/>
          <w:numId w:val="6"/>
        </w:numPr>
        <w:spacing w:after="200"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供货方式；</w:t>
      </w:r>
    </w:p>
    <w:p>
      <w:pPr>
        <w:numPr>
          <w:ilvl w:val="0"/>
          <w:numId w:val="6"/>
        </w:numPr>
        <w:spacing w:after="200"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按时供货的保证措施；</w:t>
      </w:r>
    </w:p>
    <w:p>
      <w:pPr>
        <w:numPr>
          <w:ilvl w:val="0"/>
          <w:numId w:val="6"/>
        </w:numPr>
        <w:spacing w:after="200" w:line="500" w:lineRule="exac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违约及处罚条款。</w:t>
      </w:r>
    </w:p>
    <w:p>
      <w:pPr>
        <w:pStyle w:val="2"/>
        <w:ind w:firstLine="480"/>
        <w:rPr>
          <w:color w:val="auto"/>
          <w:highlight w:val="none"/>
        </w:rPr>
      </w:pPr>
      <w:r>
        <w:rPr>
          <w:rFonts w:ascii="Times New Roman" w:hAnsi="Times New Roman"/>
          <w:color w:val="auto"/>
          <w:sz w:val="24"/>
          <w:szCs w:val="24"/>
          <w:highlight w:val="none"/>
        </w:rPr>
        <w:t>注：承诺必须包含但不限于以上内容。</w:t>
      </w:r>
    </w:p>
    <w:p>
      <w:pPr>
        <w:rPr>
          <w:color w:val="auto"/>
          <w:highlight w:val="none"/>
        </w:rPr>
      </w:pPr>
    </w:p>
    <w:p>
      <w:pPr>
        <w:rPr>
          <w:color w:val="auto"/>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pStyle w:val="2"/>
        <w:ind w:firstLine="0" w:firstLineChars="0"/>
        <w:rPr>
          <w:color w:val="auto"/>
          <w:highlight w:val="none"/>
        </w:rPr>
      </w:pPr>
      <w:r>
        <w:rPr>
          <w:rFonts w:hint="eastAsia" w:ascii="Times New Roman" w:hAnsi="Times New Roman"/>
          <w:color w:val="auto"/>
          <w:sz w:val="24"/>
          <w:highlight w:val="none"/>
        </w:rPr>
        <w:t>日  期：</w:t>
      </w:r>
    </w:p>
    <w:p>
      <w:pPr>
        <w:rPr>
          <w:color w:val="auto"/>
          <w:highlight w:val="none"/>
        </w:rPr>
      </w:pPr>
    </w:p>
    <w:p>
      <w:pPr>
        <w:pStyle w:val="2"/>
        <w:ind w:firstLine="400"/>
        <w:rPr>
          <w:color w:val="auto"/>
          <w:highlight w:val="none"/>
        </w:rPr>
      </w:pPr>
    </w:p>
    <w:p>
      <w:pPr>
        <w:rPr>
          <w:color w:val="auto"/>
          <w:highlight w:val="none"/>
        </w:rPr>
      </w:pPr>
    </w:p>
    <w:p>
      <w:pPr>
        <w:rPr>
          <w:color w:val="auto"/>
          <w:highlight w:val="none"/>
        </w:rPr>
      </w:pPr>
    </w:p>
    <w:p>
      <w:pPr>
        <w:pStyle w:val="2"/>
        <w:ind w:firstLine="400"/>
        <w:rPr>
          <w:color w:val="auto"/>
          <w:highlight w:val="none"/>
        </w:rPr>
      </w:pPr>
    </w:p>
    <w:p>
      <w:pPr>
        <w:rPr>
          <w:color w:val="auto"/>
          <w:highlight w:val="none"/>
        </w:rPr>
      </w:pPr>
    </w:p>
    <w:p>
      <w:pPr>
        <w:pStyle w:val="2"/>
        <w:ind w:firstLine="0" w:firstLineChars="0"/>
        <w:rPr>
          <w:color w:val="auto"/>
          <w:highlight w:val="none"/>
        </w:rPr>
        <w:sectPr>
          <w:pgSz w:w="11906" w:h="16838"/>
          <w:pgMar w:top="1440" w:right="1800" w:bottom="1440" w:left="1800" w:header="851" w:footer="992" w:gutter="0"/>
          <w:cols w:space="425" w:num="1"/>
          <w:docGrid w:type="lines" w:linePitch="312" w:charSpace="0"/>
        </w:sectPr>
      </w:pPr>
    </w:p>
    <w:p>
      <w:pPr>
        <w:pStyle w:val="5"/>
        <w:jc w:val="center"/>
        <w:rPr>
          <w:rFonts w:ascii="Times New Roman" w:hAnsi="Times New Roman" w:eastAsia="宋体" w:cs="Times New Roman"/>
          <w:color w:val="auto"/>
          <w:highlight w:val="none"/>
        </w:rPr>
      </w:pPr>
      <w:bookmarkStart w:id="208" w:name="_Toc12048"/>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18 比选文件要求或比选申请人认为要提供的其他资料</w:t>
      </w:r>
      <w:bookmarkEnd w:id="195"/>
      <w:bookmarkEnd w:id="208"/>
    </w:p>
    <w:p>
      <w:pPr>
        <w:rPr>
          <w:color w:val="auto"/>
          <w:highlight w:val="none"/>
        </w:rPr>
      </w:pPr>
    </w:p>
    <w:p>
      <w:pPr>
        <w:pStyle w:val="2"/>
        <w:ind w:firstLine="0" w:firstLineChars="0"/>
        <w:rPr>
          <w:color w:val="auto"/>
          <w:sz w:val="24"/>
          <w:highlight w:val="none"/>
        </w:rPr>
      </w:pPr>
    </w:p>
    <w:p>
      <w:pPr>
        <w:spacing w:line="360" w:lineRule="auto"/>
        <w:rPr>
          <w:rFonts w:cs="Times New Roman" w:asciiTheme="minorEastAsia" w:hAnsiTheme="minorEastAsia"/>
          <w:color w:val="auto"/>
          <w:kern w:val="0"/>
          <w:sz w:val="24"/>
          <w:szCs w:val="20"/>
          <w:highlight w:val="none"/>
        </w:rPr>
      </w:pPr>
      <w:r>
        <w:rPr>
          <w:rFonts w:hint="eastAsia" w:cs="Times New Roman" w:asciiTheme="minorEastAsia" w:hAnsiTheme="minorEastAsia"/>
          <w:color w:val="auto"/>
          <w:kern w:val="0"/>
          <w:sz w:val="24"/>
          <w:szCs w:val="20"/>
          <w:highlight w:val="none"/>
        </w:rPr>
        <w:t>1、第五章“采购需求”中要求提供的其他资料；</w:t>
      </w:r>
    </w:p>
    <w:p>
      <w:pPr>
        <w:spacing w:line="360" w:lineRule="auto"/>
        <w:rPr>
          <w:rFonts w:cs="Times New Roman" w:asciiTheme="minorEastAsia" w:hAnsiTheme="minorEastAsia"/>
          <w:color w:val="auto"/>
          <w:kern w:val="0"/>
          <w:sz w:val="24"/>
          <w:szCs w:val="20"/>
          <w:highlight w:val="none"/>
        </w:rPr>
      </w:pPr>
      <w:r>
        <w:rPr>
          <w:rFonts w:hint="eastAsia" w:cs="Times New Roman" w:asciiTheme="minorEastAsia" w:hAnsiTheme="minorEastAsia"/>
          <w:color w:val="auto"/>
          <w:kern w:val="0"/>
          <w:sz w:val="24"/>
          <w:szCs w:val="20"/>
          <w:highlight w:val="none"/>
        </w:rPr>
        <w:t>2、比选文件中所涉及到的相关资料及证明文件或比选申请人认为必须提供的其他相关资料；</w:t>
      </w:r>
    </w:p>
    <w:p>
      <w:pPr>
        <w:pStyle w:val="2"/>
        <w:ind w:firstLine="0" w:firstLineChars="0"/>
        <w:rPr>
          <w:color w:val="auto"/>
          <w:sz w:val="24"/>
          <w:highlight w:val="none"/>
        </w:rPr>
      </w:pPr>
    </w:p>
    <w:p>
      <w:pPr>
        <w:pStyle w:val="2"/>
        <w:ind w:firstLine="0" w:firstLineChars="0"/>
        <w:rPr>
          <w:color w:val="auto"/>
          <w:highlight w:val="none"/>
        </w:rPr>
      </w:pPr>
    </w:p>
    <w:p>
      <w:pPr>
        <w:rPr>
          <w:color w:val="auto"/>
          <w:highlight w:val="none"/>
        </w:rPr>
      </w:pPr>
    </w:p>
    <w:p>
      <w:pPr>
        <w:pStyle w:val="2"/>
        <w:ind w:firstLine="0" w:firstLineChars="0"/>
        <w:rPr>
          <w:color w:val="auto"/>
          <w:highlight w:val="none"/>
        </w:rPr>
      </w:pPr>
    </w:p>
    <w:p>
      <w:pPr>
        <w:rPr>
          <w:color w:val="auto"/>
          <w:highlight w:val="none"/>
        </w:rPr>
      </w:pPr>
    </w:p>
    <w:p>
      <w:pPr>
        <w:pStyle w:val="2"/>
        <w:ind w:firstLine="0" w:firstLineChars="0"/>
        <w:rPr>
          <w:color w:val="auto"/>
          <w:highlight w:val="none"/>
        </w:rPr>
        <w:sectPr>
          <w:pgSz w:w="11906" w:h="16838"/>
          <w:pgMar w:top="1440" w:right="1800" w:bottom="1440" w:left="1800" w:header="851" w:footer="992" w:gutter="0"/>
          <w:cols w:space="425" w:num="1"/>
          <w:docGrid w:type="lines" w:linePitch="312" w:charSpace="0"/>
        </w:sectPr>
      </w:pPr>
    </w:p>
    <w:p>
      <w:pPr>
        <w:pStyle w:val="5"/>
        <w:jc w:val="center"/>
        <w:rPr>
          <w:rFonts w:ascii="宋体" w:hAnsi="宋体" w:eastAsia="宋体" w:cs="Times New Roman"/>
          <w:bCs/>
          <w:color w:val="auto"/>
          <w:szCs w:val="20"/>
          <w:highlight w:val="none"/>
        </w:rPr>
      </w:pPr>
      <w:bookmarkStart w:id="209" w:name="_Toc20123"/>
      <w:r>
        <w:rPr>
          <w:rFonts w:hint="eastAsia" w:ascii="Times New Roman" w:hAnsi="Times New Roman" w:eastAsia="宋体" w:cs="Times New Roman"/>
          <w:color w:val="auto"/>
          <w:highlight w:val="none"/>
        </w:rPr>
        <w:t xml:space="preserve">4.19 </w:t>
      </w:r>
      <w:r>
        <w:rPr>
          <w:rFonts w:ascii="Times New Roman" w:hAnsi="Times New Roman" w:eastAsia="宋体" w:cs="Times New Roman"/>
          <w:color w:val="auto"/>
          <w:highlight w:val="none"/>
        </w:rPr>
        <w:t>中小企业</w:t>
      </w:r>
      <w:bookmarkEnd w:id="196"/>
      <w:r>
        <w:rPr>
          <w:rFonts w:ascii="Times New Roman" w:hAnsi="Times New Roman" w:eastAsia="宋体" w:cs="Times New Roman"/>
          <w:color w:val="auto"/>
          <w:highlight w:val="none"/>
        </w:rPr>
        <w:t>声明函</w:t>
      </w:r>
      <w:bookmarkEnd w:id="209"/>
    </w:p>
    <w:p>
      <w:pPr>
        <w:pStyle w:val="11"/>
        <w:ind w:left="1470" w:right="1470"/>
        <w:rPr>
          <w:rFonts w:ascii="宋体" w:hAnsi="宋体" w:eastAsia="宋体" w:cs="Times New Roman"/>
          <w:b/>
          <w:bCs/>
          <w:color w:val="auto"/>
          <w:sz w:val="24"/>
          <w:szCs w:val="20"/>
          <w:highlight w:val="none"/>
        </w:rPr>
      </w:pPr>
    </w:p>
    <w:p>
      <w:pPr>
        <w:spacing w:line="360" w:lineRule="auto"/>
        <w:ind w:firstLine="562" w:firstLineChars="200"/>
        <w:jc w:val="center"/>
        <w:rPr>
          <w:rFonts w:ascii="仿宋_GB2312" w:eastAsia="仿宋_GB2312"/>
          <w:b/>
          <w:color w:val="auto"/>
          <w:szCs w:val="21"/>
          <w:highlight w:val="none"/>
        </w:rPr>
      </w:pPr>
      <w:r>
        <w:rPr>
          <w:rFonts w:hint="eastAsia" w:ascii="宋体"/>
          <w:b/>
          <w:color w:val="auto"/>
          <w:sz w:val="28"/>
          <w:szCs w:val="28"/>
          <w:highlight w:val="none"/>
        </w:rPr>
        <w:t>中小企业声明函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本公司郑重声明，根据《政府采购促进中小企业发展管理办法》（财库﹝2020﹞46号）的规定，本公司参加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（采购文件中明确的所属行业）行业</w:t>
      </w:r>
      <w:r>
        <w:rPr>
          <w:rFonts w:hint="eastAsia" w:ascii="宋体" w:hAnsi="宋体"/>
          <w:color w:val="auto"/>
          <w:sz w:val="24"/>
          <w:highlight w:val="none"/>
        </w:rPr>
        <w:t>；制造商为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（采购文件中明确的所属行业）行业</w:t>
      </w:r>
      <w:r>
        <w:rPr>
          <w:rFonts w:hint="eastAsia" w:ascii="宋体" w:hAnsi="宋体"/>
          <w:color w:val="auto"/>
          <w:sz w:val="24"/>
          <w:highlight w:val="none"/>
        </w:rPr>
        <w:t>；制造商为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spacing w:line="360" w:lineRule="auto"/>
        <w:ind w:firstLine="420" w:firstLineChars="200"/>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企业名称：</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pPr>
        <w:pStyle w:val="11"/>
        <w:ind w:left="1470" w:right="1470"/>
        <w:rPr>
          <w:color w:val="auto"/>
          <w:highlight w:val="none"/>
        </w:rPr>
      </w:pPr>
    </w:p>
    <w:p>
      <w:pPr>
        <w:pStyle w:val="11"/>
        <w:ind w:left="0" w:leftChars="0" w:right="147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w:t>
      </w:r>
    </w:p>
    <w:p>
      <w:pPr>
        <w:pStyle w:val="11"/>
        <w:ind w:left="0" w:leftChars="0" w:right="1470"/>
        <w:rPr>
          <w:rFonts w:ascii="Times New Roman" w:hAnsi="Times New Roman" w:eastAsia="宋体" w:cs="Times New Roman"/>
          <w:color w:val="auto"/>
          <w:sz w:val="24"/>
          <w:highlight w:val="none"/>
        </w:rPr>
      </w:pPr>
    </w:p>
    <w:p>
      <w:pPr>
        <w:pStyle w:val="11"/>
        <w:ind w:left="0" w:leftChars="0" w:right="1470"/>
        <w:rPr>
          <w:rFonts w:ascii="宋体" w:hAnsi="宋体"/>
          <w:color w:val="auto"/>
          <w:sz w:val="24"/>
          <w:highlight w:val="none"/>
        </w:rPr>
      </w:pPr>
      <w:r>
        <w:rPr>
          <w:rFonts w:hint="eastAsia" w:ascii="宋体" w:hAnsi="宋体"/>
          <w:color w:val="auto"/>
          <w:sz w:val="24"/>
          <w:highlight w:val="none"/>
        </w:rPr>
        <w:t>注：从业人员、营业收入、资产总额填报上一年度数据，无上一年度数据的新成立企业可不填报。</w:t>
      </w:r>
    </w:p>
    <w:p>
      <w:pPr>
        <w:pStyle w:val="11"/>
        <w:ind w:left="0" w:leftChars="0" w:right="1470"/>
        <w:rPr>
          <w:rFonts w:ascii="宋体" w:hAnsi="宋体"/>
          <w:color w:val="auto"/>
          <w:sz w:val="24"/>
          <w:highlight w:val="none"/>
        </w:rPr>
      </w:pPr>
    </w:p>
    <w:p>
      <w:pPr>
        <w:pStyle w:val="11"/>
        <w:ind w:left="0" w:leftChars="0" w:right="1470"/>
        <w:rPr>
          <w:rFonts w:ascii="宋体" w:hAnsi="宋体"/>
          <w:color w:val="auto"/>
          <w:sz w:val="24"/>
          <w:highlight w:val="none"/>
        </w:rPr>
        <w:sectPr>
          <w:pgSz w:w="11906" w:h="16838"/>
          <w:pgMar w:top="1440" w:right="1800" w:bottom="1440" w:left="1800" w:header="851" w:footer="992" w:gutter="0"/>
          <w:cols w:space="425" w:num="1"/>
          <w:docGrid w:type="lines" w:linePitch="312" w:charSpace="0"/>
        </w:sectPr>
      </w:pPr>
    </w:p>
    <w:p>
      <w:pPr>
        <w:pStyle w:val="11"/>
        <w:ind w:left="0" w:leftChars="0" w:right="0" w:rightChars="0"/>
        <w:jc w:val="center"/>
        <w:rPr>
          <w:rFonts w:ascii="宋体"/>
          <w:b/>
          <w:color w:val="auto"/>
          <w:kern w:val="2"/>
          <w:sz w:val="28"/>
          <w:szCs w:val="28"/>
          <w:highlight w:val="none"/>
        </w:rPr>
      </w:pPr>
      <w:r>
        <w:rPr>
          <w:rFonts w:hint="eastAsia" w:ascii="宋体"/>
          <w:b/>
          <w:color w:val="auto"/>
          <w:kern w:val="2"/>
          <w:sz w:val="28"/>
          <w:szCs w:val="28"/>
          <w:highlight w:val="none"/>
        </w:rPr>
        <w:t>残疾人福利性单位声明函</w:t>
      </w:r>
    </w:p>
    <w:p>
      <w:pPr>
        <w:spacing w:line="460" w:lineRule="exact"/>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60" w:lineRule="exact"/>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本单位对上述声明的真实性负责。如有虚假，将依法承担相应责任。</w:t>
      </w:r>
    </w:p>
    <w:p>
      <w:pPr>
        <w:spacing w:line="460" w:lineRule="exact"/>
        <w:ind w:firstLine="480" w:firstLineChars="200"/>
        <w:rPr>
          <w:rFonts w:ascii="Times New Roman" w:hAnsi="Times New Roman" w:eastAsia="宋体" w:cs="Times New Roman"/>
          <w:color w:val="auto"/>
          <w:sz w:val="24"/>
          <w:highlight w:val="none"/>
        </w:rPr>
      </w:pPr>
    </w:p>
    <w:p>
      <w:pPr>
        <w:spacing w:line="460" w:lineRule="exact"/>
        <w:ind w:firstLine="480" w:firstLineChars="200"/>
        <w:rPr>
          <w:rFonts w:ascii="Times New Roman" w:hAnsi="Times New Roman" w:eastAsia="宋体" w:cs="Times New Roman"/>
          <w:color w:val="auto"/>
          <w:sz w:val="24"/>
          <w:highlight w:val="none"/>
        </w:rPr>
      </w:pPr>
    </w:p>
    <w:p>
      <w:pPr>
        <w:spacing w:line="360" w:lineRule="auto"/>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企业名称：</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pPr>
        <w:pStyle w:val="11"/>
        <w:ind w:left="1470" w:right="1470"/>
        <w:rPr>
          <w:color w:val="auto"/>
          <w:highlight w:val="none"/>
        </w:rPr>
      </w:pPr>
    </w:p>
    <w:p>
      <w:pPr>
        <w:pStyle w:val="11"/>
        <w:ind w:left="0" w:leftChars="0" w:right="147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w:t>
      </w:r>
    </w:p>
    <w:p>
      <w:pPr>
        <w:pStyle w:val="11"/>
        <w:ind w:left="0" w:leftChars="0" w:right="1470"/>
        <w:rPr>
          <w:rFonts w:ascii="Times New Roman" w:hAnsi="Times New Roman" w:eastAsia="宋体" w:cs="Times New Roman"/>
          <w:color w:val="auto"/>
          <w:sz w:val="24"/>
          <w:highlight w:val="none"/>
        </w:rPr>
      </w:pPr>
    </w:p>
    <w:p>
      <w:pPr>
        <w:pStyle w:val="11"/>
        <w:ind w:left="0" w:leftChars="0" w:right="1470"/>
        <w:rPr>
          <w:rFonts w:ascii="宋体" w:hAnsi="宋体" w:eastAsia="宋体"/>
          <w:color w:val="auto"/>
          <w:sz w:val="24"/>
          <w:highlight w:val="none"/>
        </w:rPr>
      </w:pPr>
      <w:r>
        <w:rPr>
          <w:rFonts w:hint="eastAsia" w:ascii="Times New Roman" w:hAnsi="Times New Roman" w:eastAsia="宋体" w:cs="Times New Roman"/>
          <w:color w:val="auto"/>
          <w:sz w:val="24"/>
          <w:highlight w:val="none"/>
        </w:rPr>
        <w:t xml:space="preserve"> </w:t>
      </w:r>
    </w:p>
    <w:p>
      <w:pPr>
        <w:pStyle w:val="11"/>
        <w:ind w:left="0" w:leftChars="0" w:right="1470"/>
        <w:rPr>
          <w:rFonts w:ascii="宋体" w:hAnsi="宋体"/>
          <w:color w:val="auto"/>
          <w:sz w:val="24"/>
          <w:highlight w:val="none"/>
        </w:rPr>
        <w:sectPr>
          <w:pgSz w:w="11906" w:h="16838"/>
          <w:pgMar w:top="1440" w:right="1800" w:bottom="1440" w:left="1800" w:header="851" w:footer="992" w:gutter="0"/>
          <w:cols w:space="425" w:num="1"/>
          <w:docGrid w:type="lines" w:linePitch="312" w:charSpace="0"/>
        </w:sectPr>
      </w:pPr>
    </w:p>
    <w:p>
      <w:pPr>
        <w:pStyle w:val="11"/>
        <w:ind w:left="0" w:leftChars="0" w:right="0" w:rightChars="0"/>
        <w:jc w:val="center"/>
        <w:rPr>
          <w:rFonts w:ascii="宋体"/>
          <w:b/>
          <w:color w:val="auto"/>
          <w:kern w:val="2"/>
          <w:sz w:val="28"/>
          <w:szCs w:val="28"/>
          <w:highlight w:val="none"/>
        </w:rPr>
      </w:pPr>
      <w:r>
        <w:rPr>
          <w:rFonts w:hint="eastAsia" w:ascii="宋体"/>
          <w:b/>
          <w:color w:val="auto"/>
          <w:kern w:val="2"/>
          <w:sz w:val="28"/>
          <w:szCs w:val="28"/>
          <w:highlight w:val="none"/>
        </w:rPr>
        <w:t>监狱企业证明文件</w:t>
      </w:r>
    </w:p>
    <w:p>
      <w:pPr>
        <w:spacing w:line="460" w:lineRule="exact"/>
        <w:ind w:firstLine="480" w:firstLineChars="200"/>
        <w:rPr>
          <w:rFonts w:ascii="宋体" w:hAnsi="宋体" w:eastAsia="宋体" w:cs="宋体"/>
          <w:color w:val="auto"/>
          <w:sz w:val="24"/>
          <w:highlight w:val="none"/>
        </w:rPr>
      </w:pPr>
    </w:p>
    <w:p>
      <w:pPr>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监狱企业参加政府采购活动时，应当提供由省级以上监狱管理局、戒毒管理局（含新疆生产建设兵团）出具的属于监狱企业的证明文件。</w:t>
      </w:r>
    </w:p>
    <w:p>
      <w:pPr>
        <w:pStyle w:val="11"/>
        <w:ind w:left="0" w:leftChars="0" w:right="1470"/>
        <w:rPr>
          <w:rFonts w:ascii="宋体" w:hAnsi="宋体"/>
          <w:color w:val="auto"/>
          <w:sz w:val="24"/>
          <w:highlight w:val="none"/>
        </w:rPr>
      </w:pPr>
    </w:p>
    <w:p>
      <w:pPr>
        <w:spacing w:line="360" w:lineRule="auto"/>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企业名称：</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pPr>
        <w:pStyle w:val="11"/>
        <w:ind w:left="1470" w:right="1470"/>
        <w:rPr>
          <w:color w:val="auto"/>
          <w:highlight w:val="none"/>
        </w:rPr>
      </w:pPr>
    </w:p>
    <w:p>
      <w:pPr>
        <w:pStyle w:val="11"/>
        <w:ind w:left="0" w:leftChars="0" w:right="1470"/>
        <w:rPr>
          <w:rFonts w:ascii="宋体" w:hAnsi="宋体"/>
          <w:color w:val="auto"/>
          <w:sz w:val="24"/>
          <w:highlight w:val="none"/>
        </w:rPr>
      </w:pPr>
      <w:r>
        <w:rPr>
          <w:rFonts w:hint="eastAsia" w:ascii="Times New Roman"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w:t>
      </w:r>
    </w:p>
    <w:p>
      <w:pPr>
        <w:pStyle w:val="11"/>
        <w:ind w:left="0" w:leftChars="0" w:right="1470"/>
        <w:rPr>
          <w:rFonts w:ascii="宋体" w:hAnsi="宋体"/>
          <w:color w:val="auto"/>
          <w:sz w:val="24"/>
          <w:highlight w:val="none"/>
        </w:rPr>
      </w:pPr>
    </w:p>
    <w:p>
      <w:pPr>
        <w:pStyle w:val="11"/>
        <w:ind w:left="0" w:leftChars="0" w:right="1470"/>
        <w:rPr>
          <w:rFonts w:ascii="宋体" w:hAnsi="宋体" w:eastAsia="宋体" w:cs="Times New Roman"/>
          <w:b/>
          <w:bCs/>
          <w:color w:val="auto"/>
          <w:sz w:val="24"/>
          <w:szCs w:val="20"/>
          <w:highlight w:val="none"/>
        </w:rPr>
      </w:pPr>
    </w:p>
    <w:p>
      <w:pPr>
        <w:pStyle w:val="11"/>
        <w:ind w:left="0" w:leftChars="0" w:right="1470"/>
        <w:rPr>
          <w:rFonts w:ascii="宋体" w:hAnsi="宋体" w:eastAsia="宋体" w:cs="Times New Roman"/>
          <w:b/>
          <w:bCs/>
          <w:color w:val="auto"/>
          <w:sz w:val="24"/>
          <w:szCs w:val="20"/>
          <w:highlight w:val="none"/>
        </w:rPr>
        <w:sectPr>
          <w:pgSz w:w="11906" w:h="16838"/>
          <w:pgMar w:top="1440" w:right="1800" w:bottom="1440" w:left="1800" w:header="851" w:footer="992" w:gutter="0"/>
          <w:cols w:space="425" w:num="1"/>
          <w:docGrid w:type="lines" w:linePitch="312" w:charSpace="0"/>
        </w:sectPr>
      </w:pPr>
    </w:p>
    <w:p>
      <w:pPr>
        <w:pStyle w:val="4"/>
        <w:jc w:val="center"/>
        <w:rPr>
          <w:rFonts w:ascii="Times New Roman" w:hAnsi="Times New Roman" w:eastAsia="宋体" w:cs="Times New Roman"/>
          <w:color w:val="auto"/>
          <w:sz w:val="24"/>
          <w:highlight w:val="none"/>
        </w:rPr>
      </w:pPr>
      <w:bookmarkStart w:id="210" w:name="_Toc60996695"/>
      <w:bookmarkStart w:id="211" w:name="_Toc15807_WPSOffice_Level2"/>
      <w:bookmarkStart w:id="212" w:name="_Toc8111_WPSOffice_Level1"/>
      <w:bookmarkStart w:id="213" w:name="_技术规格、参数与要求"/>
      <w:bookmarkStart w:id="214" w:name="_Toc17665"/>
      <w:r>
        <w:rPr>
          <w:rFonts w:ascii="Times New Roman" w:hAnsi="Times New Roman" w:cs="Times New Roman"/>
          <w:color w:val="auto"/>
          <w:highlight w:val="none"/>
        </w:rPr>
        <w:t xml:space="preserve">第五章 </w:t>
      </w:r>
      <w:bookmarkEnd w:id="210"/>
      <w:bookmarkEnd w:id="211"/>
      <w:bookmarkEnd w:id="212"/>
      <w:r>
        <w:rPr>
          <w:rFonts w:ascii="Times New Roman" w:hAnsi="Times New Roman" w:cs="Times New Roman"/>
          <w:color w:val="auto"/>
          <w:highlight w:val="none"/>
        </w:rPr>
        <w:t>采购需求</w:t>
      </w:r>
      <w:bookmarkEnd w:id="213"/>
      <w:bookmarkEnd w:id="214"/>
      <w:bookmarkStart w:id="215" w:name="_Toc25325_WPSOffice_Level1"/>
      <w:bookmarkStart w:id="216" w:name="_Toc17377_WPSOffice_Level2"/>
      <w:bookmarkStart w:id="217" w:name="_Toc60996698"/>
      <w:bookmarkStart w:id="218" w:name="_第七章____评标办法（综合评分法）"/>
    </w:p>
    <w:p>
      <w:pPr>
        <w:pStyle w:val="31"/>
        <w:spacing w:line="360" w:lineRule="auto"/>
        <w:ind w:firstLine="480" w:firstLineChars="200"/>
        <w:rPr>
          <w:rFonts w:ascii="Times New Roman" w:eastAsia="宋体" w:cs="Times New Roman"/>
          <w:color w:val="auto"/>
          <w:highlight w:val="none"/>
        </w:rPr>
      </w:pPr>
    </w:p>
    <w:p>
      <w:pPr>
        <w:spacing w:after="200" w:line="276" w:lineRule="auto"/>
        <w:ind w:firstLine="422"/>
        <w:rPr>
          <w:rFonts w:ascii="宋体" w:hAnsi="宋体" w:eastAsia="宋体" w:cs="宋体"/>
          <w:b/>
          <w:bCs/>
          <w:color w:val="auto"/>
          <w:sz w:val="24"/>
          <w:highlight w:val="none"/>
        </w:rPr>
      </w:pPr>
      <w:r>
        <w:rPr>
          <w:rFonts w:hint="eastAsia" w:ascii="宋体" w:hAnsi="宋体" w:eastAsia="宋体" w:cs="宋体"/>
          <w:b/>
          <w:color w:val="auto"/>
          <w:sz w:val="24"/>
          <w:highlight w:val="none"/>
        </w:rPr>
        <w:t>1. 各比选申请人必须对《采购需求》中的技术、服务要求作出全面、真实的反映。若比选申请文件中响应情况与比选标文件采购需求内容不符或无有效证明，而比选申请人又未在比选申请文件中作出说明和解释的，评标委员会在评审时将视为不响应该条技术、服务要求的规定。</w:t>
      </w:r>
    </w:p>
    <w:p>
      <w:pPr>
        <w:spacing w:after="200" w:line="276" w:lineRule="auto"/>
        <w:ind w:firstLine="422"/>
        <w:rPr>
          <w:rFonts w:ascii="宋体" w:hAnsi="宋体" w:eastAsia="宋体" w:cs="宋体"/>
          <w:b/>
          <w:color w:val="auto"/>
          <w:sz w:val="24"/>
          <w:highlight w:val="none"/>
        </w:rPr>
      </w:pPr>
      <w:r>
        <w:rPr>
          <w:rFonts w:hint="eastAsia" w:ascii="宋体" w:hAnsi="宋体" w:eastAsia="宋体" w:cs="宋体"/>
          <w:b/>
          <w:color w:val="auto"/>
          <w:sz w:val="24"/>
          <w:highlight w:val="none"/>
        </w:rPr>
        <w:t>2.比选申请人应严格按照《中华人民共和国政府采购法》、《中华人民共和国政府采购法实施条例》、《政府采购货物和服务比选比选申请管理办法》（财政部令第87号）等有关法律、法规的规定进行参选，合同签订后采购人将按照中标人比选申请文件中所投货物或者服务进行验收，一旦发现虚假中选行为，取消该中选人的中选资格，并保留追究其法律责任的权利。</w:t>
      </w:r>
      <w:bookmarkStart w:id="219" w:name="_Toc35701815"/>
      <w:bookmarkStart w:id="220" w:name="_Toc35700958"/>
      <w:bookmarkStart w:id="221" w:name="_Toc35701029"/>
      <w:bookmarkStart w:id="222" w:name="_Toc36116084"/>
    </w:p>
    <w:p>
      <w:pPr>
        <w:spacing w:after="200" w:line="276" w:lineRule="auto"/>
        <w:ind w:firstLine="422"/>
        <w:rPr>
          <w:rFonts w:ascii="宋体" w:hAnsi="宋体" w:eastAsia="宋体" w:cs="宋体"/>
          <w:color w:val="auto"/>
          <w:sz w:val="24"/>
          <w:highlight w:val="none"/>
        </w:rPr>
      </w:pPr>
      <w:r>
        <w:rPr>
          <w:rFonts w:hint="eastAsia" w:ascii="宋体" w:hAnsi="宋体" w:eastAsia="宋体" w:cs="宋体"/>
          <w:b/>
          <w:color w:val="auto"/>
          <w:kern w:val="0"/>
          <w:sz w:val="24"/>
          <w:highlight w:val="none"/>
        </w:rPr>
        <w:t>一、实施依据</w:t>
      </w:r>
    </w:p>
    <w:p>
      <w:pPr>
        <w:widowControl/>
        <w:spacing w:after="200" w:line="276"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按照定点采购、合同管理、价格监控、质量监督、送货到校、服务基层的原则和相关的文件要求。</w:t>
      </w:r>
    </w:p>
    <w:p>
      <w:pPr>
        <w:widowControl/>
        <w:spacing w:after="200" w:line="276" w:lineRule="auto"/>
        <w:ind w:firstLine="482" w:firstLineChars="200"/>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二、项目范围</w:t>
      </w:r>
    </w:p>
    <w:p>
      <w:pPr>
        <w:widowControl/>
        <w:spacing w:after="200" w:line="276"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1.采购项目：具体品种、数量以甲方学校食堂各餐饮服务机构及委托经营人的通知为准，实际数量以甲方学校食堂各餐饮服务机构及委托经营人确认数为准。</w:t>
      </w:r>
    </w:p>
    <w:p>
      <w:pPr>
        <w:widowControl/>
        <w:spacing w:after="200" w:line="276" w:lineRule="auto"/>
        <w:rPr>
          <w:rFonts w:ascii="宋体" w:hAnsi="宋体" w:eastAsia="宋体" w:cs="宋体"/>
          <w:color w:val="auto"/>
          <w:sz w:val="24"/>
          <w:highlight w:val="none"/>
        </w:rPr>
      </w:pPr>
      <w:r>
        <w:rPr>
          <w:rFonts w:hint="eastAsia" w:ascii="宋体" w:hAnsi="宋体" w:eastAsia="宋体" w:cs="宋体"/>
          <w:color w:val="auto"/>
          <w:kern w:val="0"/>
          <w:sz w:val="24"/>
          <w:highlight w:val="none"/>
        </w:rPr>
        <w:t>2.</w:t>
      </w:r>
      <w:r>
        <w:rPr>
          <w:rFonts w:hint="eastAsia" w:ascii="Times New Roman" w:hAnsi="Times New Roman" w:eastAsia="宋体" w:cs="Times New Roman"/>
          <w:color w:val="auto"/>
          <w:sz w:val="24"/>
          <w:highlight w:val="none"/>
        </w:rPr>
        <w:t>合同履行期限：2023年2月至2024年1月，如因遇政策变化等不可抗因素，合作终止。</w:t>
      </w:r>
    </w:p>
    <w:p>
      <w:pPr>
        <w:spacing w:after="200" w:line="276" w:lineRule="auto"/>
        <w:ind w:firstLine="422"/>
        <w:rPr>
          <w:rFonts w:ascii="宋体" w:hAnsi="宋体" w:eastAsia="宋体" w:cs="宋体"/>
          <w:b/>
          <w:bCs/>
          <w:color w:val="auto"/>
          <w:sz w:val="24"/>
          <w:highlight w:val="none"/>
        </w:rPr>
      </w:pPr>
      <w:r>
        <w:rPr>
          <w:rFonts w:hint="eastAsia" w:ascii="宋体" w:hAnsi="宋体" w:eastAsia="宋体" w:cs="宋体"/>
          <w:b/>
          <w:bCs/>
          <w:color w:val="auto"/>
          <w:sz w:val="24"/>
          <w:highlight w:val="none"/>
        </w:rPr>
        <w:t>三、交货时间、地点、方式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bCs/>
          <w:color w:val="auto"/>
          <w:sz w:val="24"/>
          <w:highlight w:val="none"/>
        </w:rPr>
        <w:t>时间：以各食堂</w:t>
      </w:r>
      <w:r>
        <w:rPr>
          <w:rFonts w:hint="eastAsia" w:ascii="宋体" w:hAnsi="宋体" w:eastAsia="宋体" w:cs="宋体"/>
          <w:bCs/>
          <w:color w:val="auto"/>
          <w:sz w:val="24"/>
          <w:highlight w:val="none"/>
        </w:rPr>
        <w:t>提供的供货清单为准学生在校日按需提前配送到校，蔬菜类、肉类每天配送一次，佐料干菜类每2周配送一次。每天配送一次的学校货物到校时间不得晚于早上8:30分</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供货方式：根据指定的供货地点及批准的供货方案，专人、专车派送，现场交货并验收合格。</w:t>
      </w:r>
    </w:p>
    <w:p>
      <w:pPr>
        <w:widowControl/>
        <w:spacing w:after="200" w:line="276" w:lineRule="auto"/>
        <w:ind w:firstLine="422"/>
        <w:rPr>
          <w:rFonts w:ascii="宋体" w:hAnsi="宋体" w:eastAsia="宋体" w:cs="宋体"/>
          <w:color w:val="auto"/>
          <w:sz w:val="24"/>
          <w:highlight w:val="none"/>
        </w:rPr>
      </w:pPr>
      <w:r>
        <w:rPr>
          <w:rFonts w:hint="eastAsia" w:ascii="宋体" w:hAnsi="宋体" w:eastAsia="宋体" w:cs="宋体"/>
          <w:b/>
          <w:color w:val="auto"/>
          <w:kern w:val="0"/>
          <w:sz w:val="24"/>
          <w:highlight w:val="none"/>
        </w:rPr>
        <w:t>四、采购方式和要求</w:t>
      </w:r>
    </w:p>
    <w:p>
      <w:pPr>
        <w:widowControl/>
        <w:spacing w:after="200" w:line="276" w:lineRule="auto"/>
        <w:ind w:firstLine="422"/>
        <w:rPr>
          <w:rFonts w:ascii="宋体" w:hAnsi="宋体" w:eastAsia="宋体" w:cs="宋体"/>
          <w:color w:val="auto"/>
          <w:sz w:val="24"/>
          <w:highlight w:val="none"/>
        </w:rPr>
      </w:pPr>
      <w:r>
        <w:rPr>
          <w:rFonts w:hint="eastAsia" w:ascii="宋体" w:hAnsi="宋体" w:eastAsia="宋体" w:cs="宋体"/>
          <w:b/>
          <w:color w:val="auto"/>
          <w:kern w:val="0"/>
          <w:sz w:val="24"/>
          <w:highlight w:val="none"/>
        </w:rPr>
        <w:t>(一）采购方式</w:t>
      </w:r>
    </w:p>
    <w:p>
      <w:pPr>
        <w:widowControl/>
        <w:spacing w:after="200" w:line="276"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我校食堂所需大宗食品食材定点供应商，将采取公开比选的方式确定，由中选供应商统一提</w:t>
      </w:r>
      <w:r>
        <w:rPr>
          <w:rFonts w:hint="eastAsia" w:ascii="宋体" w:hAnsi="宋体" w:eastAsia="宋体" w:cs="宋体"/>
          <w:color w:val="auto"/>
          <w:kern w:val="0"/>
          <w:sz w:val="24"/>
          <w:highlight w:val="none"/>
        </w:rPr>
        <w:t>供食材并配送到</w:t>
      </w:r>
      <w:r>
        <w:rPr>
          <w:rFonts w:hint="eastAsia" w:ascii="宋体" w:hAnsi="宋体" w:eastAsia="宋体" w:cs="宋体"/>
          <w:color w:val="auto"/>
          <w:kern w:val="0"/>
          <w:sz w:val="24"/>
          <w:highlight w:val="none"/>
        </w:rPr>
        <w:t>各食堂。</w:t>
      </w:r>
    </w:p>
    <w:p>
      <w:pPr>
        <w:widowControl/>
        <w:spacing w:after="200" w:line="276" w:lineRule="auto"/>
        <w:ind w:firstLine="422"/>
        <w:rPr>
          <w:rFonts w:ascii="宋体" w:hAnsi="宋体" w:eastAsia="宋体" w:cs="宋体"/>
          <w:color w:val="auto"/>
          <w:sz w:val="24"/>
          <w:highlight w:val="none"/>
        </w:rPr>
      </w:pPr>
      <w:r>
        <w:rPr>
          <w:rFonts w:hint="eastAsia" w:ascii="宋体" w:hAnsi="宋体" w:eastAsia="宋体" w:cs="宋体"/>
          <w:b/>
          <w:color w:val="auto"/>
          <w:kern w:val="0"/>
          <w:sz w:val="24"/>
          <w:highlight w:val="none"/>
        </w:rPr>
        <w:t>1.采购价格</w:t>
      </w:r>
    </w:p>
    <w:p>
      <w:pPr>
        <w:widowControl/>
        <w:spacing w:line="360" w:lineRule="auto"/>
        <w:ind w:firstLine="480" w:firstLineChars="200"/>
        <w:rPr>
          <w:rFonts w:ascii="Times New Roman" w:hAnsi="Times New Roman" w:eastAsia="宋体" w:cs="Times New Roman"/>
          <w:bCs/>
          <w:color w:val="auto"/>
          <w:kern w:val="0"/>
          <w:sz w:val="24"/>
          <w:highlight w:val="none"/>
        </w:rPr>
      </w:pPr>
      <w:r>
        <w:rPr>
          <w:rFonts w:ascii="Times New Roman" w:hAnsi="Times New Roman" w:eastAsia="宋体" w:cs="Times New Roman"/>
          <w:color w:val="auto"/>
          <w:kern w:val="0"/>
          <w:sz w:val="24"/>
          <w:highlight w:val="none"/>
        </w:rPr>
        <w:t>1.1</w:t>
      </w:r>
      <w:r>
        <w:rPr>
          <w:rFonts w:hint="eastAsia" w:ascii="宋体" w:hAnsi="宋体" w:eastAsia="宋体" w:cs="宋体"/>
          <w:color w:val="auto"/>
          <w:kern w:val="0"/>
          <w:sz w:val="24"/>
          <w:highlight w:val="none"/>
        </w:rPr>
        <w:t>.</w:t>
      </w:r>
      <w:r>
        <w:rPr>
          <w:rFonts w:ascii="Times New Roman" w:hAnsi="Times New Roman" w:eastAsia="宋体" w:cs="Times New Roman"/>
          <w:color w:val="auto"/>
          <w:kern w:val="0"/>
          <w:sz w:val="24"/>
          <w:highlight w:val="none"/>
        </w:rPr>
        <w:t>食材基准价确定方式：由学校各食堂餐饮管理服务机构及委托经营人按照采购文件、定点供货合同，轮流每月进行三次市场询价，并提交各类食材基准价交甲方，定点供应商也应同时提交各类食材基准价交甲方，甲方对乙方食材询价过程进行监督，并对乙方及定点供应商提交的食材基准价进行审核，审核通过经三方签字认可后的价格为食材基准价，甲方在要求保证质量的前提下对食材基准价限高不限低。</w:t>
      </w:r>
    </w:p>
    <w:p>
      <w:pPr>
        <w:widowControl/>
        <w:spacing w:line="360" w:lineRule="auto"/>
        <w:ind w:firstLine="480" w:firstLineChars="20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1.2</w:t>
      </w:r>
      <w:r>
        <w:rPr>
          <w:rFonts w:hint="eastAsia" w:ascii="宋体" w:hAnsi="宋体" w:eastAsia="宋体" w:cs="宋体"/>
          <w:color w:val="auto"/>
          <w:kern w:val="0"/>
          <w:sz w:val="24"/>
          <w:highlight w:val="none"/>
        </w:rPr>
        <w:t>.</w:t>
      </w:r>
      <w:r>
        <w:rPr>
          <w:rFonts w:hint="eastAsia" w:ascii="Times New Roman" w:hAnsi="Times New Roman" w:eastAsia="宋体" w:cs="Times New Roman"/>
          <w:color w:val="auto"/>
          <w:kern w:val="0"/>
          <w:sz w:val="24"/>
          <w:highlight w:val="none"/>
        </w:rPr>
        <w:t>结算</w:t>
      </w:r>
      <w:r>
        <w:rPr>
          <w:rFonts w:hint="eastAsia" w:ascii="Times New Roman" w:hAnsi="Times New Roman" w:eastAsia="宋体" w:cs="Times New Roman"/>
          <w:color w:val="auto"/>
          <w:kern w:val="0"/>
          <w:sz w:val="24"/>
          <w:highlight w:val="none"/>
          <w:lang w:val="en-US" w:eastAsia="zh-CN"/>
        </w:rPr>
        <w:t>价款</w:t>
      </w:r>
      <w:r>
        <w:rPr>
          <w:rFonts w:hint="eastAsia" w:ascii="Times New Roman" w:hAnsi="Times New Roman" w:eastAsia="宋体" w:cs="Times New Roman"/>
          <w:color w:val="auto"/>
          <w:kern w:val="0"/>
          <w:sz w:val="24"/>
          <w:highlight w:val="none"/>
        </w:rPr>
        <w:t>：按照（1-中选下浮率</w:t>
      </w:r>
      <w:r>
        <w:rPr>
          <w:rFonts w:hint="eastAsia" w:ascii="Times New Roman" w:hAnsi="Times New Roman" w:eastAsia="宋体" w:cs="Times New Roman"/>
          <w:color w:val="auto"/>
          <w:kern w:val="0"/>
          <w:sz w:val="24"/>
          <w:highlight w:val="none"/>
        </w:rPr>
        <w:t>）</w:t>
      </w:r>
      <w:r>
        <w:rPr>
          <w:rFonts w:ascii="Arial" w:hAnsi="Arial" w:eastAsia="宋体" w:cs="Arial"/>
          <w:color w:val="auto"/>
          <w:kern w:val="0"/>
          <w:sz w:val="24"/>
          <w:highlight w:val="none"/>
        </w:rPr>
        <w:t>×</w:t>
      </w:r>
      <w:r>
        <w:rPr>
          <w:rFonts w:hint="eastAsia" w:ascii="Times New Roman" w:hAnsi="Times New Roman" w:eastAsia="宋体" w:cs="Times New Roman"/>
          <w:color w:val="auto"/>
          <w:kern w:val="0"/>
          <w:sz w:val="24"/>
          <w:highlight w:val="none"/>
        </w:rPr>
        <w:t>食材基准价</w:t>
      </w:r>
      <w:r>
        <w:rPr>
          <w:rFonts w:ascii="Arial" w:hAnsi="Arial" w:eastAsia="宋体" w:cs="Arial"/>
          <w:color w:val="auto"/>
          <w:kern w:val="0"/>
          <w:sz w:val="24"/>
          <w:highlight w:val="none"/>
        </w:rPr>
        <w:t>×</w:t>
      </w:r>
      <w:r>
        <w:rPr>
          <w:rFonts w:hint="eastAsia" w:ascii="Arial" w:hAnsi="Arial" w:eastAsia="宋体" w:cs="Arial"/>
          <w:color w:val="auto"/>
          <w:kern w:val="0"/>
          <w:sz w:val="24"/>
          <w:highlight w:val="none"/>
        </w:rPr>
        <w:t>数量据实</w:t>
      </w:r>
      <w:r>
        <w:rPr>
          <w:rFonts w:hint="eastAsia" w:ascii="Times New Roman" w:hAnsi="Times New Roman" w:eastAsia="宋体" w:cs="Times New Roman"/>
          <w:color w:val="auto"/>
          <w:kern w:val="0"/>
          <w:sz w:val="24"/>
          <w:highlight w:val="none"/>
        </w:rPr>
        <w:t>进行结算。</w:t>
      </w:r>
    </w:p>
    <w:p>
      <w:pPr>
        <w:widowControl/>
        <w:spacing w:line="360" w:lineRule="auto"/>
        <w:ind w:firstLine="480" w:firstLineChars="200"/>
        <w:rPr>
          <w:rFonts w:ascii="宋体" w:hAnsi="宋体" w:eastAsia="宋体" w:cs="宋体"/>
          <w:color w:val="auto"/>
          <w:sz w:val="24"/>
          <w:highlight w:val="none"/>
        </w:rPr>
      </w:pPr>
      <w:r>
        <w:rPr>
          <w:rFonts w:hint="eastAsia" w:ascii="Times New Roman" w:hAnsi="Times New Roman" w:eastAsia="宋体" w:cs="Times New Roman"/>
          <w:color w:val="auto"/>
          <w:kern w:val="0"/>
          <w:sz w:val="24"/>
          <w:highlight w:val="none"/>
        </w:rPr>
        <w:t>1.3</w:t>
      </w:r>
      <w:r>
        <w:rPr>
          <w:rFonts w:hint="eastAsia" w:ascii="宋体" w:hAnsi="宋体" w:eastAsia="宋体" w:cs="宋体"/>
          <w:color w:val="auto"/>
          <w:kern w:val="0"/>
          <w:sz w:val="24"/>
          <w:highlight w:val="none"/>
        </w:rPr>
        <w:t>.</w:t>
      </w:r>
      <w:r>
        <w:rPr>
          <w:rFonts w:ascii="Times New Roman" w:hAnsi="Times New Roman" w:eastAsia="宋体" w:cs="Times New Roman"/>
          <w:color w:val="auto"/>
          <w:kern w:val="0"/>
          <w:sz w:val="24"/>
          <w:highlight w:val="none"/>
        </w:rPr>
        <w:t>结算</w:t>
      </w:r>
      <w:r>
        <w:rPr>
          <w:rFonts w:hint="eastAsia" w:ascii="Times New Roman" w:hAnsi="Times New Roman" w:eastAsia="宋体" w:cs="Times New Roman"/>
          <w:color w:val="auto"/>
          <w:kern w:val="0"/>
          <w:sz w:val="24"/>
          <w:highlight w:val="none"/>
        </w:rPr>
        <w:t>方式</w:t>
      </w:r>
      <w:r>
        <w:rPr>
          <w:rFonts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rPr>
        <w:t>原则上</w:t>
      </w:r>
      <w:r>
        <w:rPr>
          <w:rFonts w:ascii="Times New Roman" w:hAnsi="Times New Roman" w:eastAsia="宋体" w:cs="Times New Roman"/>
          <w:color w:val="auto"/>
          <w:kern w:val="0"/>
          <w:sz w:val="24"/>
          <w:highlight w:val="none"/>
        </w:rPr>
        <w:t>每月月初按学校、学校各食堂餐饮管理服务机构及委托经营人与供货商三方确认的上一个月的实际供货品种</w:t>
      </w:r>
      <w:r>
        <w:rPr>
          <w:rFonts w:hint="eastAsia" w:ascii="Times New Roman" w:hAnsi="Times New Roman" w:eastAsia="宋体" w:cs="Times New Roman"/>
          <w:color w:val="auto"/>
          <w:kern w:val="0"/>
          <w:sz w:val="24"/>
          <w:highlight w:val="none"/>
        </w:rPr>
        <w:t>、单价、</w:t>
      </w:r>
      <w:r>
        <w:rPr>
          <w:rFonts w:ascii="Times New Roman" w:hAnsi="Times New Roman" w:eastAsia="宋体" w:cs="Times New Roman"/>
          <w:color w:val="auto"/>
          <w:kern w:val="0"/>
          <w:sz w:val="24"/>
          <w:highlight w:val="none"/>
        </w:rPr>
        <w:t>数量进行结算转账支付。</w:t>
      </w:r>
    </w:p>
    <w:p>
      <w:pPr>
        <w:widowControl/>
        <w:spacing w:after="200" w:line="276" w:lineRule="auto"/>
        <w:ind w:firstLine="422"/>
        <w:rPr>
          <w:rFonts w:ascii="宋体" w:hAnsi="宋体" w:eastAsia="宋体" w:cs="宋体"/>
          <w:color w:val="auto"/>
          <w:sz w:val="24"/>
          <w:highlight w:val="none"/>
        </w:rPr>
      </w:pPr>
      <w:r>
        <w:rPr>
          <w:rFonts w:hint="eastAsia" w:ascii="宋体" w:hAnsi="宋体" w:eastAsia="宋体" w:cs="宋体"/>
          <w:b/>
          <w:color w:val="auto"/>
          <w:kern w:val="0"/>
          <w:sz w:val="24"/>
          <w:highlight w:val="none"/>
        </w:rPr>
        <w:t>（二）采购要求</w:t>
      </w:r>
    </w:p>
    <w:p>
      <w:pPr>
        <w:spacing w:line="360" w:lineRule="auto"/>
        <w:rPr>
          <w:rFonts w:ascii="宋体" w:hAnsi="宋体" w:eastAsia="宋体" w:cs="宋体"/>
          <w:color w:val="auto"/>
          <w:sz w:val="24"/>
          <w:highlight w:val="none"/>
        </w:rPr>
      </w:pPr>
      <w:r>
        <w:rPr>
          <w:rFonts w:hint="eastAsia" w:ascii="宋体" w:hAnsi="宋体" w:eastAsia="宋体" w:cs="宋体"/>
          <w:b/>
          <w:color w:val="auto"/>
          <w:kern w:val="0"/>
          <w:sz w:val="24"/>
          <w:highlight w:val="none"/>
        </w:rPr>
        <w:t>1.采购内容：</w:t>
      </w:r>
      <w:r>
        <w:rPr>
          <w:rFonts w:hint="eastAsia" w:ascii="宋体" w:hAnsi="宋体" w:eastAsia="宋体" w:cs="宋体"/>
          <w:b/>
          <w:bCs/>
          <w:color w:val="auto"/>
          <w:sz w:val="24"/>
          <w:highlight w:val="none"/>
        </w:rPr>
        <w:t>本项目的采购内容等详见下列表格，各类食材的种类须包含但不限于下列各表所列种类，</w:t>
      </w:r>
      <w:r>
        <w:rPr>
          <w:rFonts w:hint="eastAsia" w:ascii="宋体" w:hAnsi="宋体" w:eastAsia="宋体" w:cs="宋体"/>
          <w:b w:val="0"/>
          <w:bCs w:val="0"/>
          <w:color w:val="auto"/>
          <w:sz w:val="24"/>
          <w:highlight w:val="none"/>
        </w:rPr>
        <w:t>评审时将结合比选申请人提供的种类正负偏离情况进行打分。</w:t>
      </w:r>
    </w:p>
    <w:tbl>
      <w:tblPr>
        <w:tblStyle w:val="25"/>
        <w:tblW w:w="10419"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69"/>
        <w:gridCol w:w="689"/>
        <w:gridCol w:w="1244"/>
        <w:gridCol w:w="857"/>
        <w:gridCol w:w="1614"/>
        <w:gridCol w:w="642"/>
        <w:gridCol w:w="1325"/>
        <w:gridCol w:w="63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418" w:type="dxa"/>
            <w:gridSpan w:val="10"/>
            <w:vAlign w:val="center"/>
          </w:tcPr>
          <w:p>
            <w:pPr>
              <w:spacing w:after="200"/>
              <w:jc w:val="center"/>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鲜菜类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569"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689"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244"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857"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612"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642"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325"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630"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115"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白萝卜</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19</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苤蓝</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37</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油麦菜</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55</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香瓜（老南瓜）</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73</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带壳青毛豆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胡萝卜</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芦笋</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38</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芥蓝</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56</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板栗南瓜（珍珠瓜）</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74</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手剥青毛豆米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儿菜</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21</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莲藕</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香菜（芫荽）</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57</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姜柄瓜（四品瓜）</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75</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带壳豌豆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菠菜</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22</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本芹（白芹、青芹）</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40</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蒜苗（青蒜）</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58</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佛手瓜（洋瓜）</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76</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手剥豌豆米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苔菜</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23</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洋芹（西芹）</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41</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空心菜</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59</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西葫芦（三月瓜、云南小瓜）</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77</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荷兰豆（带壳菜豌豆）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弯葱</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鱼腥草（折耳根）</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茼蒿菜</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60</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冬瓜</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78</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鲜香菇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直葱</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25</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大白菜</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43</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薄荷</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61</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黄瓜</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79</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平菇（人工菌）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9"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小葱</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26</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小白菜</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44</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茴香</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62</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苦瓜</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80</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杏鲍菇（鸡腿菇）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洋葱</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27</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娃娃菜</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45</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菜花（白花菜）</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63</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丝瓜</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81</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魔芋（灰菜）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大蒜</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28</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上海青</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46</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西蓝花（青花菜）</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番茄（西红柿）</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82</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豆腐干（白豆腐干）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蒜苔（蒜薹）</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29</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麻叶青</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47</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豌豆尖</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65</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茄子</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83</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嫩豆腐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生姜</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大青菜</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黄豆芽</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66</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茨菇</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84</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老豆腐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莴笋（青笋）</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31</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小青菜</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49</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绿豆芽</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67</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毛芋头（粽包芋）</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85</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豆花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棒菜</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紫甘蓝</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50</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扁豆芽</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68</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香芋（大芋头、荔浦芋头）</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86</w:t>
            </w:r>
          </w:p>
        </w:tc>
        <w:tc>
          <w:tcPr>
            <w:tcW w:w="111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熟红豆（煮熟干红豆米）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山药</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33</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包菜（莲花白）</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51</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青辣椒（线椒、二荆条）</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69</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带壳青蚕豆</w:t>
            </w:r>
          </w:p>
        </w:tc>
        <w:tc>
          <w:tcPr>
            <w:tcW w:w="630" w:type="dxa"/>
            <w:vAlign w:val="center"/>
          </w:tcPr>
          <w:p>
            <w:pPr>
              <w:spacing w:after="200"/>
              <w:jc w:val="center"/>
              <w:rPr>
                <w:rFonts w:ascii="宋体" w:hAnsi="宋体" w:eastAsia="宋体" w:cs="宋体"/>
                <w:color w:val="auto"/>
                <w:kern w:val="0"/>
                <w:sz w:val="20"/>
                <w:szCs w:val="20"/>
                <w:highlight w:val="none"/>
              </w:rPr>
            </w:pPr>
          </w:p>
        </w:tc>
        <w:tc>
          <w:tcPr>
            <w:tcW w:w="1115" w:type="dxa"/>
            <w:vAlign w:val="center"/>
          </w:tcPr>
          <w:p>
            <w:pPr>
              <w:spacing w:after="200"/>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茭白（茭瓜）</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34</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生菜</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52</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大青椒（尖椒）</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70</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手剥青蚕豆米</w:t>
            </w:r>
          </w:p>
        </w:tc>
        <w:tc>
          <w:tcPr>
            <w:tcW w:w="630" w:type="dxa"/>
            <w:vAlign w:val="center"/>
          </w:tcPr>
          <w:p>
            <w:pPr>
              <w:spacing w:after="200"/>
              <w:jc w:val="center"/>
              <w:rPr>
                <w:rFonts w:ascii="宋体" w:hAnsi="宋体" w:eastAsia="宋体" w:cs="宋体"/>
                <w:color w:val="auto"/>
                <w:kern w:val="0"/>
                <w:sz w:val="20"/>
                <w:szCs w:val="20"/>
                <w:highlight w:val="none"/>
              </w:rPr>
            </w:pPr>
          </w:p>
        </w:tc>
        <w:tc>
          <w:tcPr>
            <w:tcW w:w="1115" w:type="dxa"/>
            <w:vAlign w:val="center"/>
          </w:tcPr>
          <w:p>
            <w:pPr>
              <w:spacing w:after="200"/>
              <w:jc w:val="center"/>
              <w:rPr>
                <w:rFonts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土豆（马铃薯、洋芋）</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35</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菠菜</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53</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大红椒（灯笼椒）</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71</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玉米（青玉米、甜玉米）</w:t>
            </w:r>
          </w:p>
        </w:tc>
        <w:tc>
          <w:tcPr>
            <w:tcW w:w="630" w:type="dxa"/>
            <w:vAlign w:val="center"/>
          </w:tcPr>
          <w:p>
            <w:pPr>
              <w:spacing w:after="200"/>
              <w:jc w:val="center"/>
              <w:rPr>
                <w:rFonts w:ascii="宋体" w:hAnsi="宋体" w:eastAsia="宋体" w:cs="宋体"/>
                <w:color w:val="auto"/>
                <w:kern w:val="0"/>
                <w:sz w:val="20"/>
                <w:szCs w:val="20"/>
                <w:highlight w:val="none"/>
              </w:rPr>
            </w:pPr>
          </w:p>
        </w:tc>
        <w:tc>
          <w:tcPr>
            <w:tcW w:w="1115" w:type="dxa"/>
            <w:vAlign w:val="center"/>
          </w:tcPr>
          <w:p>
            <w:pPr>
              <w:spacing w:after="200"/>
              <w:jc w:val="center"/>
              <w:rPr>
                <w:rFonts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156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小土豆（小洋芋）</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36</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韭菜</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54</w:t>
            </w:r>
          </w:p>
        </w:tc>
        <w:tc>
          <w:tcPr>
            <w:tcW w:w="161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小米椒（小米辣）</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72</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手剥玉米粒</w:t>
            </w:r>
          </w:p>
        </w:tc>
        <w:tc>
          <w:tcPr>
            <w:tcW w:w="630" w:type="dxa"/>
            <w:vAlign w:val="center"/>
          </w:tcPr>
          <w:p>
            <w:pPr>
              <w:spacing w:after="200"/>
              <w:jc w:val="center"/>
              <w:rPr>
                <w:rFonts w:ascii="宋体" w:hAnsi="宋体" w:eastAsia="宋体" w:cs="宋体"/>
                <w:color w:val="auto"/>
                <w:kern w:val="0"/>
                <w:sz w:val="20"/>
                <w:szCs w:val="20"/>
                <w:highlight w:val="none"/>
              </w:rPr>
            </w:pPr>
          </w:p>
        </w:tc>
        <w:tc>
          <w:tcPr>
            <w:tcW w:w="1115" w:type="dxa"/>
            <w:vAlign w:val="center"/>
          </w:tcPr>
          <w:p>
            <w:pPr>
              <w:spacing w:after="200"/>
              <w:jc w:val="center"/>
              <w:rPr>
                <w:rFonts w:ascii="宋体" w:hAnsi="宋体" w:eastAsia="宋体"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418" w:type="dxa"/>
            <w:gridSpan w:val="10"/>
            <w:vAlign w:val="center"/>
          </w:tcPr>
          <w:p>
            <w:pPr>
              <w:widowControl/>
              <w:spacing w:after="200"/>
              <w:jc w:val="center"/>
              <w:rPr>
                <w:rFonts w:ascii="宋体" w:hAnsi="宋体" w:eastAsia="宋体" w:cs="宋体"/>
                <w:color w:val="auto"/>
                <w:kern w:val="0"/>
                <w:sz w:val="20"/>
                <w:szCs w:val="20"/>
                <w:highlight w:val="none"/>
              </w:rPr>
            </w:pPr>
            <w:r>
              <w:rPr>
                <w:rFonts w:hint="eastAsia" w:ascii="宋体" w:hAnsi="宋体" w:eastAsia="宋体" w:cs="宋体"/>
                <w:b/>
                <w:bCs/>
                <w:color w:val="auto"/>
                <w:sz w:val="20"/>
                <w:szCs w:val="20"/>
                <w:highlight w:val="none"/>
              </w:rPr>
              <w:t>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568"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689"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244"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857"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614"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642"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325"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630"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114" w:type="dxa"/>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568"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猪前腿肉（带骨）</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猪排骨</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p>
        </w:tc>
        <w:tc>
          <w:tcPr>
            <w:tcW w:w="161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猪血（散称）</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土杂鸡</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21</w:t>
            </w:r>
          </w:p>
        </w:tc>
        <w:tc>
          <w:tcPr>
            <w:tcW w:w="111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腊肠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568"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猪前腿肉（去骨）</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猪筒骨（筒子骨）</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161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牛干巴</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土杂鸡（去头去脚去内脏）</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22</w:t>
            </w:r>
          </w:p>
        </w:tc>
        <w:tc>
          <w:tcPr>
            <w:tcW w:w="111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干火腿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568"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猪后腿肉（带骨）</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猪肝</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p>
        </w:tc>
        <w:tc>
          <w:tcPr>
            <w:tcW w:w="161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新鲜牛肉</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新鲜鸡胸肉</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23</w:t>
            </w:r>
          </w:p>
        </w:tc>
        <w:tc>
          <w:tcPr>
            <w:tcW w:w="111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烤鸭（切块）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568"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猪后腿肉（去骨）</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猪板油</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161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三黄鸡</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19</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新鲜羊肉</w:t>
            </w:r>
          </w:p>
        </w:tc>
        <w:tc>
          <w:tcPr>
            <w:tcW w:w="630"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111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兔子肉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3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568"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猪五花肉</w:t>
            </w:r>
          </w:p>
        </w:tc>
        <w:tc>
          <w:tcPr>
            <w:tcW w:w="689"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124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猪净瘦肉</w:t>
            </w:r>
          </w:p>
        </w:tc>
        <w:tc>
          <w:tcPr>
            <w:tcW w:w="857"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c>
          <w:tcPr>
            <w:tcW w:w="161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三黄鸡（去头去脚去内脏）</w:t>
            </w:r>
          </w:p>
        </w:tc>
        <w:tc>
          <w:tcPr>
            <w:tcW w:w="642"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p>
        </w:tc>
        <w:tc>
          <w:tcPr>
            <w:tcW w:w="1325"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腊猪脚（切块）</w:t>
            </w:r>
          </w:p>
        </w:tc>
        <w:tc>
          <w:tcPr>
            <w:tcW w:w="630" w:type="dxa"/>
            <w:vAlign w:val="center"/>
          </w:tcPr>
          <w:p>
            <w:pPr>
              <w:spacing w:after="200"/>
              <w:jc w:val="center"/>
              <w:rPr>
                <w:rFonts w:ascii="宋体" w:hAnsi="宋体" w:eastAsia="宋体" w:cs="宋体"/>
                <w:color w:val="auto"/>
                <w:sz w:val="20"/>
                <w:szCs w:val="20"/>
                <w:highlight w:val="none"/>
              </w:rPr>
            </w:pPr>
          </w:p>
        </w:tc>
        <w:tc>
          <w:tcPr>
            <w:tcW w:w="1114" w:type="dxa"/>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bl>
    <w:p>
      <w:pPr>
        <w:ind w:firstLine="420"/>
        <w:rPr>
          <w:rFonts w:ascii="宋体" w:hAnsi="宋体" w:eastAsia="宋体" w:cs="宋体"/>
          <w:color w:val="auto"/>
          <w:highlight w:val="none"/>
        </w:rPr>
      </w:pPr>
    </w:p>
    <w:tbl>
      <w:tblPr>
        <w:tblStyle w:val="25"/>
        <w:tblW w:w="10427" w:type="dxa"/>
        <w:tblInd w:w="-522" w:type="dxa"/>
        <w:tblLayout w:type="fixed"/>
        <w:tblCellMar>
          <w:top w:w="0" w:type="dxa"/>
          <w:left w:w="108" w:type="dxa"/>
          <w:bottom w:w="0" w:type="dxa"/>
          <w:right w:w="108" w:type="dxa"/>
        </w:tblCellMar>
      </w:tblPr>
      <w:tblGrid>
        <w:gridCol w:w="737"/>
        <w:gridCol w:w="1778"/>
        <w:gridCol w:w="645"/>
        <w:gridCol w:w="1457"/>
        <w:gridCol w:w="644"/>
        <w:gridCol w:w="1457"/>
        <w:gridCol w:w="644"/>
        <w:gridCol w:w="1327"/>
        <w:gridCol w:w="632"/>
        <w:gridCol w:w="1106"/>
      </w:tblGrid>
      <w:tr>
        <w:tblPrEx>
          <w:tblCellMar>
            <w:top w:w="0" w:type="dxa"/>
            <w:left w:w="108" w:type="dxa"/>
            <w:bottom w:w="0" w:type="dxa"/>
            <w:right w:w="108" w:type="dxa"/>
          </w:tblCellMar>
        </w:tblPrEx>
        <w:trPr>
          <w:trHeight w:val="510" w:hRule="atLeast"/>
        </w:trPr>
        <w:tc>
          <w:tcPr>
            <w:tcW w:w="10427" w:type="dxa"/>
            <w:gridSpan w:val="10"/>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佐料（干货调料类）</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778" w:type="dxa"/>
            <w:tcBorders>
              <w:top w:val="single" w:color="auto" w:sz="4" w:space="0"/>
              <w:left w:val="nil"/>
              <w:bottom w:val="single" w:color="auto" w:sz="4" w:space="0"/>
              <w:right w:val="single" w:color="auto" w:sz="4" w:space="0"/>
            </w:tcBorders>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645" w:type="dxa"/>
            <w:tcBorders>
              <w:top w:val="single" w:color="auto" w:sz="4" w:space="0"/>
              <w:left w:val="nil"/>
              <w:bottom w:val="single" w:color="auto" w:sz="4" w:space="0"/>
              <w:right w:val="single" w:color="auto" w:sz="4" w:space="0"/>
            </w:tcBorders>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457" w:type="dxa"/>
            <w:tcBorders>
              <w:top w:val="single" w:color="auto" w:sz="4" w:space="0"/>
              <w:left w:val="nil"/>
              <w:bottom w:val="single" w:color="auto" w:sz="4" w:space="0"/>
              <w:right w:val="single" w:color="auto" w:sz="4" w:space="0"/>
            </w:tcBorders>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644" w:type="dxa"/>
            <w:tcBorders>
              <w:top w:val="single" w:color="auto" w:sz="4" w:space="0"/>
              <w:left w:val="nil"/>
              <w:bottom w:val="single" w:color="auto" w:sz="4" w:space="0"/>
              <w:right w:val="single" w:color="auto" w:sz="4" w:space="0"/>
            </w:tcBorders>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457" w:type="dxa"/>
            <w:tcBorders>
              <w:top w:val="single" w:color="auto" w:sz="4" w:space="0"/>
              <w:left w:val="nil"/>
              <w:bottom w:val="single" w:color="auto" w:sz="4" w:space="0"/>
              <w:right w:val="single" w:color="auto" w:sz="4" w:space="0"/>
            </w:tcBorders>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644" w:type="dxa"/>
            <w:tcBorders>
              <w:top w:val="single" w:color="auto" w:sz="4" w:space="0"/>
              <w:left w:val="nil"/>
              <w:bottom w:val="single" w:color="auto" w:sz="4" w:space="0"/>
              <w:right w:val="single" w:color="auto" w:sz="4" w:space="0"/>
            </w:tcBorders>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327" w:type="dxa"/>
            <w:tcBorders>
              <w:top w:val="single" w:color="auto" w:sz="4" w:space="0"/>
              <w:left w:val="nil"/>
              <w:bottom w:val="single" w:color="auto" w:sz="4" w:space="0"/>
              <w:right w:val="single" w:color="auto" w:sz="4" w:space="0"/>
            </w:tcBorders>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c>
          <w:tcPr>
            <w:tcW w:w="632" w:type="dxa"/>
            <w:tcBorders>
              <w:top w:val="single" w:color="auto" w:sz="4" w:space="0"/>
              <w:left w:val="nil"/>
              <w:bottom w:val="single" w:color="auto" w:sz="4" w:space="0"/>
              <w:right w:val="single" w:color="auto" w:sz="4" w:space="0"/>
            </w:tcBorders>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序号</w:t>
            </w:r>
          </w:p>
        </w:tc>
        <w:tc>
          <w:tcPr>
            <w:tcW w:w="1106" w:type="dxa"/>
            <w:tcBorders>
              <w:top w:val="single" w:color="auto" w:sz="4" w:space="0"/>
              <w:left w:val="nil"/>
              <w:bottom w:val="single" w:color="auto" w:sz="4" w:space="0"/>
              <w:right w:val="single" w:color="auto" w:sz="4" w:space="0"/>
            </w:tcBorders>
            <w:vAlign w:val="center"/>
          </w:tcPr>
          <w:p>
            <w:pPr>
              <w:widowControl/>
              <w:spacing w:after="200"/>
              <w:jc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菜名</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食盐</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粗辣椒面</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35</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干辣椒（辣椒节）</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52</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干面条（鸡蛋面）</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69</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麻辣香锅调料</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味精</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19</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细辣椒面</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36</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干草果</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53</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干面条（豆浆面）</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70</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水豆豉</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鸡精</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茴香面（茴香粉）</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37</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干八角</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54</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干米线（粗、细）、干饵丝</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71</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风味豆豉</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生抽酱油</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21</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胡椒粉</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38</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白芝麻</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55</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干红豆</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72</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香辣酱</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老抽酱油</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22</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五香粉</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黑芝麻</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56</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干蚕豆</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73</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麻辣酱</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味极鲜酱油</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23</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卤粉</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40</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干豆腐皮</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57</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花生</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74</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红油豆瓣酱</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醋（白醋、米醋）</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十三香</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41</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干海带片</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58</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绿豆</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75</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豆瓣酱</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蚝油</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25</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孜然粉</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干海带丝</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59</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八宝米</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76</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剁辣椒</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料酒</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26</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麦面粉（雪花粉）</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43</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干黄花菜</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60</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糯米</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77</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酸腌菜</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白糖</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27</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糯米面（米粉）</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44</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干木耳</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61</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午餐肉</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78</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酸笋</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冰糖</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28</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蒸肉粉</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45</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干笋（笋丝、笋片）</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62</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火腿肠</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79</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面包</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红糖</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29</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酥肉粉</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46</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干香菇</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63</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鲜米线</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80</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鸡蛋</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芝麻油</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荞面粉</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47</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干香菇丁（干香菇脚）</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鲜饵丝</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81</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甜牛奶</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花椒油</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31</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小粉（淀粉）</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紫菜</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65</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单山蘸水</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82</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纯牛奶</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草果面（草果粉）</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食用小苏打</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49</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虾片、荞片</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66</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豆腐乳（乳腐）</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83</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酸奶</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花椒面（花椒粉）</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33</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干青花椒</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50</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粉丝</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67</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黄焖鸡调料</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Calibri" w:hAnsi="Calibri" w:eastAsia="宋体" w:cs="宋体"/>
                <w:color w:val="auto"/>
                <w:sz w:val="20"/>
                <w:szCs w:val="20"/>
                <w:highlight w:val="none"/>
              </w:rPr>
              <w:t>84</w:t>
            </w: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菜籽油</w:t>
            </w:r>
          </w:p>
        </w:tc>
      </w:tr>
      <w:tr>
        <w:tblPrEx>
          <w:tblCellMar>
            <w:top w:w="0" w:type="dxa"/>
            <w:left w:w="108" w:type="dxa"/>
            <w:bottom w:w="0" w:type="dxa"/>
            <w:right w:w="108" w:type="dxa"/>
          </w:tblCellMar>
        </w:tblPrEx>
        <w:trPr>
          <w:trHeight w:val="510"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p>
        </w:tc>
        <w:tc>
          <w:tcPr>
            <w:tcW w:w="1778"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八角面（八角粉）</w:t>
            </w:r>
          </w:p>
        </w:tc>
        <w:tc>
          <w:tcPr>
            <w:tcW w:w="645"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34</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干红花椒</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51</w:t>
            </w:r>
          </w:p>
        </w:tc>
        <w:tc>
          <w:tcPr>
            <w:tcW w:w="145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粉条</w:t>
            </w:r>
          </w:p>
        </w:tc>
        <w:tc>
          <w:tcPr>
            <w:tcW w:w="644"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68</w:t>
            </w:r>
          </w:p>
        </w:tc>
        <w:tc>
          <w:tcPr>
            <w:tcW w:w="1327"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辣子鸡调料</w:t>
            </w:r>
          </w:p>
        </w:tc>
        <w:tc>
          <w:tcPr>
            <w:tcW w:w="632"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p>
        </w:tc>
        <w:tc>
          <w:tcPr>
            <w:tcW w:w="1106" w:type="dxa"/>
            <w:tcBorders>
              <w:top w:val="single" w:color="auto" w:sz="4" w:space="0"/>
              <w:left w:val="nil"/>
              <w:bottom w:val="single" w:color="auto" w:sz="4" w:space="0"/>
              <w:right w:val="single" w:color="auto" w:sz="4" w:space="0"/>
            </w:tcBorders>
            <w:vAlign w:val="center"/>
          </w:tcPr>
          <w:p>
            <w:pPr>
              <w:spacing w:after="200"/>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bl>
    <w:p>
      <w:pPr>
        <w:spacing w:after="200" w:line="276" w:lineRule="auto"/>
        <w:rPr>
          <w:rFonts w:ascii="宋体" w:hAnsi="宋体" w:eastAsia="宋体" w:cs="宋体"/>
          <w:b/>
          <w:color w:val="auto"/>
          <w:kern w:val="0"/>
          <w:sz w:val="24"/>
          <w:highlight w:val="none"/>
        </w:rPr>
      </w:pPr>
    </w:p>
    <w:p>
      <w:pPr>
        <w:spacing w:line="360" w:lineRule="auto"/>
        <w:rPr>
          <w:rFonts w:ascii="Times New Roman" w:hAnsi="Times New Roman" w:eastAsia="宋体" w:cs="Times New Roman"/>
          <w:color w:val="auto"/>
          <w:sz w:val="24"/>
          <w:highlight w:val="none"/>
        </w:rPr>
      </w:pPr>
      <w:r>
        <w:rPr>
          <w:rFonts w:hint="eastAsia" w:ascii="宋体" w:hAnsi="宋体" w:eastAsia="宋体" w:cs="宋体"/>
          <w:b/>
          <w:color w:val="auto"/>
          <w:kern w:val="0"/>
          <w:sz w:val="24"/>
          <w:highlight w:val="none"/>
        </w:rPr>
        <w:t>2.质量要求</w:t>
      </w:r>
      <w:r>
        <w:rPr>
          <w:rFonts w:hint="eastAsia" w:ascii="宋体" w:hAnsi="宋体" w:eastAsia="宋体" w:cs="宋体"/>
          <w:b/>
          <w:color w:val="auto"/>
          <w:kern w:val="0"/>
          <w:sz w:val="24"/>
          <w:highlight w:val="none"/>
        </w:rPr>
        <w:t>（包含但不限于以下标准）：</w:t>
      </w:r>
      <w:r>
        <w:rPr>
          <w:rFonts w:hint="eastAsia" w:cs="Times New Roman" w:asciiTheme="minorEastAsia" w:hAnsiTheme="minorEastAsia"/>
          <w:color w:val="auto"/>
          <w:sz w:val="24"/>
          <w:highlight w:val="none"/>
        </w:rPr>
        <w:t>蔬菜符合CB/T23351-2009《国家新鲜水果和蔬菜质量标准》及《中华人民共和国食品安全法》和中华人民共和国相关质量检验标准、卫生标准及地方的相关法律法规要求；肉禽符合(中华人民共和国标准鲜禽肉卫生标准》、《中华人民共和国食品安全法》和中华人民共和国相关质量检验标准、卫生标准及地方的相关法律法规要求；其他种类符合《中华人民共和国食品安全法》和中华人民共和国相关质量检验标准、卫生标准及地方的相关法律法规要求；依法建立并落实食品（原料）进货查验制度，确保食品安全。所有食品为非转基因食品，确保绿色健康。质量必须符合《国家食品卫生标准》及国家、行业相关的规范、标准，满足比选人验收标准，并一次性验收合格。</w:t>
      </w:r>
    </w:p>
    <w:p>
      <w:pPr>
        <w:spacing w:line="276"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2.1 鲜菜类</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鲜菜类必须提供产地来源证明，并保证菜品新鲜、外观、颜色、质感正常，农药残留物不得超标（当天送达的鲜菜必须要提供有法定效力的农药残留抽检检测证明材料），并且是经修剪挑拣过的半成品。若不符合要求，必须退货更换，因质量问题造成损失由配送方承当。</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新鲜度：感观正常，新鲜。</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水量：充足，但无过分萎蔫、皱皮。</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色泽：正常、无变色，光泽、色亮鲜艳。</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硬度：叶菜挺立，瓜菜饱满、结实、无空心、根菜略硬。</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机械伤：相同新鲜条件下无外力造成的伤害（如挤伤、压伤、碰伤、切口、裂伤等）。</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病虫害：无虫害、虫嗑、无残虫卵。</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形状：枝叶丰满、大小适中，曲线谐调。成熟度：适中，未过熟、腐烂。</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污染：无污染、残留农药、运输造成的污染。</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有包装蔬菜：应完整干净。</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叶菜类：挺实，全味正，颜色好，无过多黄叶、腐烂叶与多泥根，水分充足，无萎蔫、不成熟现象。</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瓜菜类：个大、成熟、新鲜、外皮无斑点，有新鲜绿身，无软化、变质现象。</w:t>
      </w:r>
    </w:p>
    <w:p>
      <w:pPr>
        <w:spacing w:line="360" w:lineRule="auto"/>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根菜类：挺实，无软化、腐烂、带泥过多，色泽正常，形状正常，无生芽现象。</w:t>
      </w:r>
    </w:p>
    <w:p>
      <w:pPr>
        <w:spacing w:line="276"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2.2 肉（禽）类</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必须保证供应肉品为屠宰厂当天屠宰且新鲜的肉类，当天送达的猪肉制品上必须盖有检验检疫章及相关纸质屠宰证明（《动物检疫合格证》《肉产品质量保证合格证》和《非洲猪瘟检测报告》）；牛肉制品毎个批次的产品必须提供《动物检疫合格证》；所有肉品须表皮洁净、膘厚适中、色泽鲜亮、纹理清晰、肉质细腻、无异味、按压无水迹，品质好。每个批次的肉（禽厂类必须提供当日宰杀的新鲜肉和《动物检疫合格证》，无激素药物残留，无食品添加剂，肉质鲜嫩有弹性，肉类颜色正常，感观好，不得提供冷藏肉充当鲜肉。</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肉（禽）类必须提供当日宰杀的新鲜肉，无激素药物残留，无食品添加剂，肉质鲜嫩有弹性，肉类颜色正常，感观好，不得提供冷藏的肉充当鲜肉。</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杜绝提供未经动物检疫部门检疫、检验或者检疫、检验不合格的肉类及其制品，猪肉不能有种猪、母猪肉。</w:t>
      </w:r>
    </w:p>
    <w:p>
      <w:pPr>
        <w:spacing w:line="276"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2.3调料、干菜类</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产品质量符合《中华人民共和国食品安全法》、《中华人民共和国农产品质量安全法》等相关法律法规规定。所供调料及干菜要求不过期、不变质、不变味、无杂质、无毒无害，应符合国家食品质量的有关规定。不得是过期和四无（无生产厂家、无生产日期、无保质期、无合格证）产品。不接受转基因材料，或以转基因材料制成的食物原材料。</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观察：干货原料不含或较少的含有杂质，原料的形状均匀，具有原料固有的本色。</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气味鉴别：</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植物性干料：具有各自的清香味。</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动物性干料：须有原料固有的本味之外，无任何异味。</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触摸鉴别：</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植物性（海味）干料：通过触摸来确定含水量的多少来判断原料干脆程度，是否符合质量标准。</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泡发率：</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干货原料都具有固有的泡发率，泡发率越高的原料成本越低，按原料的实际泡发率多少来确定是否符合标准。</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产品质量要求：</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①包装上必须注明品牌、生产厂商及地址、联系电话、生产日期、质保期、生产批号，并在显著位置标注 SC 认证标志。杜绝提供腐败变质、油脂酸败、霉变、生虫、污秽不洁、混有异物或者其他感官性状异常，对人体健康有害的产品。</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②杜绝提供含有毒、有害物质或者被有害物质污染，对人体健康有害的产品。③杜绝提供含有致病性寄生虫、微生物或者微生物含量超过国家限定标准的产品。</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④杜绝提供掺假、掺杂、伪造，影响营养、卫生的产品。</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⑤杜绝提供用非食品原料加工的，加入非食品用化学物质或者将非食品当作食品的产品。</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⑥杜绝提供超过保质期限的产品。</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⑦鲜鸡蛋：质量完全符合国家标准，每枚不少于60克，常温情况下，保质期达15天。</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⑧面条：要求采用纯小麦制作，不掺淀粉，在不开封情况下质保期不少于12个月。</w:t>
      </w:r>
    </w:p>
    <w:p>
      <w:pPr>
        <w:spacing w:line="276" w:lineRule="auto"/>
        <w:ind w:firstLine="422"/>
        <w:rPr>
          <w:rFonts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kern w:val="0"/>
          <w:sz w:val="24"/>
          <w:highlight w:val="none"/>
        </w:rPr>
        <w:t>.</w:t>
      </w:r>
      <w:r>
        <w:rPr>
          <w:rFonts w:hint="eastAsia" w:ascii="宋体" w:hAnsi="宋体" w:eastAsia="宋体" w:cs="宋体"/>
          <w:b/>
          <w:bCs/>
          <w:color w:val="auto"/>
          <w:sz w:val="24"/>
          <w:highlight w:val="none"/>
        </w:rPr>
        <w:t>接收查验</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验收单位：由学校指定专人负责验收。</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验收标准：按照国家及行业相关标准及比选文件规定验收，如验收达不到规定要求，供应商承担相应责任，并赔偿所造成的损失。供应商必须按照学校选定的中选供应食品原料供货，必须确保食品原料的质量。供货方每次配送食品原料时，必须向采购学校提供该产品检验检疫合格证明等国家规定的其他有效证明材料。</w:t>
      </w:r>
    </w:p>
    <w:p>
      <w:pPr>
        <w:spacing w:line="276" w:lineRule="auto"/>
        <w:ind w:firstLine="422"/>
        <w:rPr>
          <w:rFonts w:ascii="宋体" w:hAnsi="宋体" w:eastAsia="宋体" w:cs="宋体"/>
          <w:b/>
          <w:bCs/>
          <w:color w:val="auto"/>
          <w:sz w:val="24"/>
          <w:highlight w:val="none"/>
        </w:rPr>
      </w:pPr>
      <w:r>
        <w:rPr>
          <w:rFonts w:hint="eastAsia" w:ascii="宋体" w:hAnsi="宋体" w:eastAsia="宋体" w:cs="宋体"/>
          <w:b/>
          <w:bCs/>
          <w:color w:val="auto"/>
          <w:sz w:val="24"/>
          <w:highlight w:val="none"/>
        </w:rPr>
        <w:t>五、食品抽样封存程序</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供应商在向学校交付食品时，双方经办人员须当场抽取食堂样品进行封存，封条要注明学校名称、封存日期、样品有效期等内容，经双方经办人员签字确认并加盖学校盖单位章后密闭贴封，样品交由双方分别保管，供应商应指导学校做好样品保管工作，避免样品因保管不善发生质量劣变。</w:t>
      </w:r>
    </w:p>
    <w:p>
      <w:pPr>
        <w:spacing w:line="276" w:lineRule="auto"/>
        <w:ind w:firstLine="422"/>
        <w:rPr>
          <w:rFonts w:ascii="宋体" w:hAnsi="宋体" w:eastAsia="宋体" w:cs="宋体"/>
          <w:b/>
          <w:bCs/>
          <w:color w:val="auto"/>
          <w:sz w:val="24"/>
          <w:highlight w:val="none"/>
        </w:rPr>
      </w:pPr>
      <w:r>
        <w:rPr>
          <w:rFonts w:hint="eastAsia" w:ascii="宋体" w:hAnsi="宋体" w:eastAsia="宋体" w:cs="宋体"/>
          <w:b/>
          <w:bCs/>
          <w:color w:val="auto"/>
          <w:sz w:val="24"/>
          <w:highlight w:val="none"/>
        </w:rPr>
        <w:t>六、食品储存</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供应商应帮助学校建立符合食品安全标准的储藏仓库。配备必要的食品原料储藏保鲜设施，配置良好的通风、防潮、防鼠、防虫、防蝇、防霉变等设施并能正常使用；食品原料储藏应当分类、分架、离地安全管理，遵循先进先出的原则摆放,不同区域应有明显标识，建立健全出入库管理制度，并有专人管理。</w:t>
      </w:r>
    </w:p>
    <w:p>
      <w:pPr>
        <w:spacing w:line="276" w:lineRule="auto"/>
        <w:ind w:firstLine="422"/>
        <w:rPr>
          <w:rFonts w:ascii="宋体" w:hAnsi="宋体" w:eastAsia="宋体" w:cs="宋体"/>
          <w:b/>
          <w:bCs/>
          <w:color w:val="auto"/>
          <w:sz w:val="24"/>
          <w:highlight w:val="none"/>
        </w:rPr>
      </w:pPr>
      <w:r>
        <w:rPr>
          <w:rFonts w:hint="eastAsia" w:ascii="宋体" w:hAnsi="宋体" w:eastAsia="宋体" w:cs="宋体"/>
          <w:b/>
          <w:bCs/>
          <w:color w:val="auto"/>
          <w:sz w:val="24"/>
          <w:highlight w:val="none"/>
        </w:rPr>
        <w:t>七、质量管理保障措施</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1.严格执行索证索票制度。</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供应商在购进每批次食品时，必须查验供货商该批次食品的质量检验报告（肉类须提供相关检验检疫合格证明）、营业执照、食用农产品合格证等证明材料的原件并索取相应的复印件留存备查。向学校配送食品时，该批次食品的质量检验报告要随货同行。</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2.规范购销台账管理。</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供应商建立完善购销经营台账和质量档案，台账保管时间不得低于3年；要按时向采购人报告流通统计数据，确保数据的真实性、完整性；要指导学校建立购进领用台账，规范填写台账内容。</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3.食材包装</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要求不祼装食材，原来有外包装的，保证包装完好，无破损。</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4.食品安全责任</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供应商中标供应商应严格遵守《食品安全法》和《动物检疫法》等有关规定，有下列情况并造成严重后果的，一次性没收履约质量安全保证金，终止合同，由供应商承担由此造成的经济损失和法律责任。一是所供食品腐败变质，油脂酸败、霉变、生虫、污秽不洁、混有异物或者其他感官性状异常，对人体健康有害的；二是所供食品含有毒、有害物质或者被有害物质污染，对人体健康有害的；三是发生食品质量安全事故的；四是掺假、掺杂、伪造、短斤少两等违法违规行为，影响营养、卫生的；五是用非食品原料加工的，加入非食品用化学物质或者将非食品当作食品的；六是所供食品超过保质期限或保质期不足七天的制品的；七是所供食品不符合食品安全标准的；八是所供食品与中标食品不相符的；九是转包他人的；十是连续3次不能按时供货的；十一是虚开税务发票，发生偷税、漏税行为的；十二是未经有关部门批准，擅自提高供应价格的；十三是私自串换供应品种、降低供应质量或私自与学校有关人员勾结谋取不正当利益的；十四是向学校供应无生产许可证、产品说明的制品；十五是其他违反国家有关法律、法规规定的行为。</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5.质量检测</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为切实保障学生食用蔬菜、肉类质量安全，市场监督管理局等部门会定期对供应商所供蔬菜、肉类进行抽样检测,并向供应商出具蔬菜、肉类质量检验报告，做好备案工作，同时将检验结果报送蔬菜、肉类主管部门备案。不具备检验检测条件的，可就近委托其他地区蔬菜、肉类质量检测机构进行检验。</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6.质量追溯</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为保证蔬菜、肉类质量，确保消费食用安全，实现质量追溯性，确保能追溯至其原始状态，必须制定质量追溯机制，建立追溯制度。一是保证采购食品符合国家无公害农产品的质量要求，建立入库检验制度。二是保障储存、加工、运输、销售和消费过程中不变质、无污染。三是监督管理生产、供应和消费全过程，收集整理各相关环节规章制度及记录，并监督检查执行情况。如发现销售的食品质量问题，应及时将销售的质量不合格产品收回，对不合格产品进行追溯，并追究有关负责人的责任，及时对出现问题进行整改。</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7.供应商有义务及时向物价部门和食品安全委员会提供价格变动信息，各采购学校在每次采购和每月资金结算后，必须及时将采购原料的数量、质量、价格等信息在学校“营养改善计划”公示栏或相关的食谱公示栏中进行公示，接受广大群众、学生家长和学生的监督。</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8.供应商员工在配送食品过程中造成的意外事故（含第三人侵权、交通事故、工伤及其他不可抗因素等）造成供应商人员受损,由供应商承担，教育体育局和学校不承担任何责任。</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9.如学校出现食品中毒事件，在双方责任不明确时，所需费用由供应商先暂付，责任认定后，由责任方承担应有费用。</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10.每次配送的食品必须免费向各校点提供每批次留样1份，每份不低于100克，并完善留样相关记录。</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11.供应商必须履行的职责：严格执行《中华人民共和国食品安全法》、《中华人民共和国农产品质量安全法》、《生猪屠宰管理条例》等食品安全法律法规的规定；建立健全各类食品安全管理制度和食堂食品工作应急预案；所经销的食品均应按规定检测有效检验报告等各种有效证明，其索证有效率达100%；凡是《食品安全法》禁止经营的食品一律不得采购和使用；参与食品配送的相关人员必须持健康证上岗；确保进货源头安全，建立进货台账，确保食品质量，保证提供健康、放心的食品，确保安全、放心食用；在不可预见的自然灾害情况下，供应商对食品运输储存、供应要有稳妥的应急办法,确保食品安全。</w:t>
      </w:r>
    </w:p>
    <w:p>
      <w:pPr>
        <w:spacing w:line="360" w:lineRule="auto"/>
        <w:ind w:firstLine="480" w:firstLineChars="200"/>
        <w:rPr>
          <w:rFonts w:cs="Times New Roman" w:asciiTheme="minorEastAsia" w:hAnsiTheme="minorEastAsia"/>
          <w:color w:val="auto"/>
          <w:sz w:val="24"/>
          <w:highlight w:val="none"/>
        </w:rPr>
      </w:pPr>
      <w:r>
        <w:rPr>
          <w:rFonts w:hint="eastAsia" w:cs="Times New Roman" w:asciiTheme="minorEastAsia" w:hAnsiTheme="minorEastAsia"/>
          <w:color w:val="auto"/>
          <w:sz w:val="24"/>
          <w:highlight w:val="none"/>
        </w:rPr>
        <w:t>12.供应商不得将合同的任何部分或卖方的任何权利、利益或责任转让、委派、许诺、安排给其他人，除非有采购人及相关部门书面同意。否则采购人有权单方面终止合同，由此产生的一切经济损失由供应商自行承担。</w:t>
      </w:r>
      <w:bookmarkEnd w:id="219"/>
      <w:bookmarkEnd w:id="220"/>
      <w:bookmarkEnd w:id="221"/>
      <w:bookmarkEnd w:id="222"/>
    </w:p>
    <w:p>
      <w:pPr>
        <w:spacing w:line="276" w:lineRule="auto"/>
        <w:ind w:firstLine="422"/>
        <w:rPr>
          <w:rFonts w:ascii="宋体" w:hAnsi="宋体" w:eastAsia="宋体" w:cs="宋体"/>
          <w:b/>
          <w:bCs/>
          <w:color w:val="auto"/>
          <w:sz w:val="24"/>
          <w:highlight w:val="none"/>
        </w:rPr>
      </w:pPr>
      <w:r>
        <w:rPr>
          <w:rFonts w:hint="eastAsia" w:ascii="宋体" w:hAnsi="宋体" w:eastAsia="宋体" w:cs="宋体"/>
          <w:b/>
          <w:bCs/>
          <w:color w:val="auto"/>
          <w:sz w:val="24"/>
          <w:highlight w:val="none"/>
        </w:rPr>
        <w:t>八、协议书</w:t>
      </w:r>
      <w:r>
        <w:rPr>
          <w:rFonts w:hint="eastAsia" w:ascii="宋体" w:hAnsi="宋体" w:eastAsia="宋体" w:cs="宋体"/>
          <w:b/>
          <w:bCs/>
          <w:color w:val="auto"/>
          <w:sz w:val="24"/>
          <w:highlight w:val="none"/>
        </w:rPr>
        <w:t>（由比选人与现学校各食堂餐饮管理服务机构及委托经营人签订，比选申请人请仔细阅读）</w:t>
      </w:r>
    </w:p>
    <w:p>
      <w:pPr>
        <w:pStyle w:val="2"/>
        <w:ind w:firstLine="400"/>
        <w:rPr>
          <w:color w:val="auto"/>
          <w:highlight w:val="none"/>
        </w:rPr>
        <w:sectPr>
          <w:pgSz w:w="11906" w:h="16838"/>
          <w:pgMar w:top="1440" w:right="1800" w:bottom="1440" w:left="1800" w:header="851" w:footer="992" w:gutter="0"/>
          <w:cols w:space="425" w:num="1"/>
          <w:docGrid w:type="lines" w:linePitch="312" w:charSpace="0"/>
        </w:sectPr>
      </w:pPr>
    </w:p>
    <w:p>
      <w:pPr>
        <w:jc w:val="center"/>
        <w:rPr>
          <w:color w:val="auto"/>
          <w:sz w:val="24"/>
          <w:highlight w:val="none"/>
        </w:rPr>
      </w:pPr>
      <w:r>
        <w:rPr>
          <w:rFonts w:hint="eastAsia"/>
          <w:color w:val="auto"/>
          <w:sz w:val="44"/>
          <w:szCs w:val="44"/>
          <w:highlight w:val="none"/>
        </w:rPr>
        <w:t>协议书</w:t>
      </w:r>
    </w:p>
    <w:p>
      <w:pPr>
        <w:rPr>
          <w:color w:val="auto"/>
          <w:sz w:val="24"/>
          <w:highlight w:val="none"/>
        </w:rPr>
      </w:pPr>
    </w:p>
    <w:p>
      <w:pPr>
        <w:rPr>
          <w:color w:val="auto"/>
          <w:sz w:val="28"/>
          <w:szCs w:val="28"/>
          <w:highlight w:val="none"/>
        </w:rPr>
      </w:pPr>
      <w:r>
        <w:rPr>
          <w:rFonts w:hint="eastAsia"/>
          <w:color w:val="auto"/>
          <w:sz w:val="28"/>
          <w:szCs w:val="28"/>
          <w:highlight w:val="none"/>
        </w:rPr>
        <w:t>甲方：楚雄医药高等专科学校</w:t>
      </w:r>
    </w:p>
    <w:p>
      <w:pPr>
        <w:rPr>
          <w:color w:val="auto"/>
          <w:sz w:val="24"/>
          <w:highlight w:val="none"/>
        </w:rPr>
      </w:pPr>
      <w:r>
        <w:rPr>
          <w:rFonts w:hint="eastAsia"/>
          <w:color w:val="auto"/>
          <w:sz w:val="28"/>
          <w:szCs w:val="28"/>
          <w:highlight w:val="none"/>
        </w:rPr>
        <w:t>乙方：学校各食堂餐饮管理服务机构及委托经营人</w:t>
      </w:r>
    </w:p>
    <w:p>
      <w:pPr>
        <w:spacing w:line="360" w:lineRule="auto"/>
        <w:ind w:firstLine="480" w:firstLineChars="200"/>
        <w:rPr>
          <w:color w:val="auto"/>
          <w:sz w:val="24"/>
          <w:highlight w:val="none"/>
        </w:rPr>
      </w:pPr>
      <w:r>
        <w:rPr>
          <w:rFonts w:hint="eastAsia"/>
          <w:color w:val="auto"/>
          <w:sz w:val="24"/>
          <w:highlight w:val="none"/>
        </w:rPr>
        <w:t>为确保食品安全，规范学校食堂大宗食材采购，完善采购程序，对食堂肉禽、干货、蔬菜三大类食材统一通过公开比选方式，确定一家定点供应商，现就定点供应商采购及今后食材采购中相关事项进行协商，并由甲乙双方签署本协议书。</w:t>
      </w:r>
    </w:p>
    <w:p>
      <w:pPr>
        <w:spacing w:line="360" w:lineRule="auto"/>
        <w:ind w:firstLine="480" w:firstLineChars="200"/>
        <w:rPr>
          <w:color w:val="auto"/>
          <w:sz w:val="24"/>
          <w:highlight w:val="none"/>
        </w:rPr>
      </w:pPr>
      <w:r>
        <w:rPr>
          <w:rFonts w:hint="eastAsia"/>
          <w:color w:val="auto"/>
          <w:sz w:val="24"/>
          <w:highlight w:val="none"/>
        </w:rPr>
        <w:t>一、甲方组织学校食堂大宗食材定点供应单位采购工作。</w:t>
      </w:r>
    </w:p>
    <w:p>
      <w:pPr>
        <w:spacing w:line="360" w:lineRule="auto"/>
        <w:ind w:firstLine="480" w:firstLineChars="200"/>
        <w:rPr>
          <w:color w:val="auto"/>
          <w:sz w:val="24"/>
          <w:highlight w:val="none"/>
        </w:rPr>
      </w:pPr>
      <w:r>
        <w:rPr>
          <w:rFonts w:hint="eastAsia"/>
          <w:color w:val="auto"/>
          <w:sz w:val="24"/>
          <w:highlight w:val="none"/>
        </w:rPr>
        <w:t>二、乙方积极配合甲方并参与采购工作，接受采购结果，同时提出合理化建议。</w:t>
      </w:r>
    </w:p>
    <w:p>
      <w:pPr>
        <w:spacing w:line="360" w:lineRule="auto"/>
        <w:ind w:firstLine="480" w:firstLineChars="200"/>
        <w:rPr>
          <w:color w:val="auto"/>
          <w:sz w:val="24"/>
          <w:highlight w:val="none"/>
        </w:rPr>
      </w:pPr>
      <w:r>
        <w:rPr>
          <w:rFonts w:hint="eastAsia"/>
          <w:color w:val="auto"/>
          <w:sz w:val="24"/>
          <w:highlight w:val="none"/>
        </w:rPr>
        <w:t>三、乙方按照采购文件、定点供货合同，进行市场询价，并提交各类食材基准价交甲方，由甲方通知定点供应商。</w:t>
      </w:r>
    </w:p>
    <w:p>
      <w:pPr>
        <w:spacing w:line="360" w:lineRule="auto"/>
        <w:ind w:firstLine="480" w:firstLineChars="200"/>
        <w:rPr>
          <w:color w:val="auto"/>
          <w:sz w:val="24"/>
          <w:highlight w:val="none"/>
        </w:rPr>
      </w:pPr>
      <w:r>
        <w:rPr>
          <w:rFonts w:hint="eastAsia"/>
          <w:color w:val="auto"/>
          <w:sz w:val="24"/>
          <w:highlight w:val="none"/>
        </w:rPr>
        <w:t>四、甲方对乙方食材询价过程进行监督，并对乙方及定点供应商提交的食材基准价进行审核，甲方在要求保证质量的前提下对食材基准价限高不限低。</w:t>
      </w:r>
    </w:p>
    <w:p>
      <w:pPr>
        <w:spacing w:line="360" w:lineRule="auto"/>
        <w:ind w:firstLine="480" w:firstLineChars="200"/>
        <w:rPr>
          <w:color w:val="auto"/>
          <w:sz w:val="24"/>
          <w:highlight w:val="none"/>
        </w:rPr>
      </w:pPr>
      <w:r>
        <w:rPr>
          <w:rFonts w:hint="eastAsia"/>
          <w:color w:val="auto"/>
          <w:sz w:val="24"/>
          <w:highlight w:val="none"/>
        </w:rPr>
        <w:t>五、乙方提前一天将所需食材清单提交中选定点供应商，并要求供应商按合同约定的质量、数量送至乙方指定的地点，并进行验收（含各类有效证明）。</w:t>
      </w:r>
    </w:p>
    <w:p>
      <w:pPr>
        <w:spacing w:line="360" w:lineRule="auto"/>
        <w:ind w:firstLine="480" w:firstLineChars="200"/>
        <w:rPr>
          <w:color w:val="auto"/>
          <w:sz w:val="24"/>
          <w:highlight w:val="none"/>
        </w:rPr>
      </w:pPr>
      <w:r>
        <w:rPr>
          <w:rFonts w:hint="eastAsia"/>
          <w:color w:val="auto"/>
          <w:sz w:val="24"/>
          <w:highlight w:val="none"/>
        </w:rPr>
        <w:t>六、甲方应与乙方共同对中选供应商配送的食材进行验收。</w:t>
      </w:r>
    </w:p>
    <w:p>
      <w:pPr>
        <w:spacing w:line="360" w:lineRule="auto"/>
        <w:ind w:firstLine="480" w:firstLineChars="200"/>
        <w:rPr>
          <w:color w:val="auto"/>
          <w:sz w:val="24"/>
          <w:highlight w:val="none"/>
        </w:rPr>
      </w:pPr>
      <w:r>
        <w:rPr>
          <w:rFonts w:hint="eastAsia"/>
          <w:color w:val="auto"/>
          <w:sz w:val="24"/>
          <w:highlight w:val="none"/>
        </w:rPr>
        <w:t>七、乙方应本着实事求是、公平公正、保证质量的原则，对楚雄市区各类食材销售市场进行询价，并接受甲方监督，所提交的食材基准价须符合市场规律。</w:t>
      </w:r>
    </w:p>
    <w:p>
      <w:pPr>
        <w:spacing w:line="360" w:lineRule="auto"/>
        <w:ind w:firstLine="480" w:firstLineChars="200"/>
        <w:rPr>
          <w:color w:val="auto"/>
          <w:sz w:val="24"/>
          <w:highlight w:val="none"/>
        </w:rPr>
      </w:pPr>
      <w:r>
        <w:rPr>
          <w:rFonts w:hint="eastAsia"/>
          <w:color w:val="auto"/>
          <w:sz w:val="24"/>
          <w:highlight w:val="none"/>
        </w:rPr>
        <w:t>八、如乙方提交的食材基准价定点供应商不能接受，甲方有义务进行协调和监督，如因乙方提交的基准价明显低于市场批发价，乙方应及时重新提交，或乙方认为所提交的基准价符合市场行情，且定点供应商仍不能供货时，由乙方按采购文件及定点供货合同中要求的资质、质量标准、能力等，推荐一家定点供货商并征得其他食堂餐饮管理服务方的认可，报甲方审核同意，由乙方推荐的供货商临时供货并签订临时供货合同。</w:t>
      </w:r>
    </w:p>
    <w:p>
      <w:pPr>
        <w:spacing w:line="360" w:lineRule="auto"/>
        <w:ind w:firstLine="480" w:firstLineChars="200"/>
        <w:rPr>
          <w:rFonts w:ascii="Times New Roman" w:hAnsi="Times New Roman"/>
          <w:color w:val="auto"/>
          <w:sz w:val="24"/>
          <w:highlight w:val="none"/>
        </w:rPr>
        <w:sectPr>
          <w:pgSz w:w="11906" w:h="16838"/>
          <w:pgMar w:top="1440" w:right="1800" w:bottom="1440" w:left="1800" w:header="851" w:footer="992" w:gutter="0"/>
          <w:cols w:space="425" w:num="1"/>
          <w:docGrid w:type="lines" w:linePitch="312" w:charSpace="0"/>
        </w:sectPr>
      </w:pPr>
      <w:r>
        <w:rPr>
          <w:rFonts w:hint="eastAsia"/>
          <w:color w:val="auto"/>
          <w:sz w:val="24"/>
          <w:highlight w:val="none"/>
        </w:rPr>
        <w:t>九、如乙方提交的食材基准价经甲方、定点供货商三方共同进行市场询价，认定符合市场行情，但定点供货商仍不能供货的，甲方应要求定点供货商履行供货合同，并要求整改，经整改达不到要求，或定点供货商不愿整改的，乙方可与甲方协商终止与定点供应商的供货合同，重新组织比选，或按第八条进行处理。</w:t>
      </w:r>
    </w:p>
    <w:p>
      <w:pPr>
        <w:keepNext/>
        <w:keepLines/>
        <w:tabs>
          <w:tab w:val="left" w:pos="360"/>
        </w:tabs>
        <w:adjustRightInd w:val="0"/>
        <w:spacing w:before="120" w:line="360" w:lineRule="auto"/>
        <w:jc w:val="center"/>
        <w:textAlignment w:val="baseline"/>
        <w:outlineLvl w:val="0"/>
        <w:rPr>
          <w:rFonts w:ascii="Times New Roman" w:cs="Times New Roman"/>
          <w:color w:val="auto"/>
          <w:highlight w:val="none"/>
        </w:rPr>
      </w:pPr>
      <w:bookmarkStart w:id="223" w:name="_Toc30764"/>
      <w:r>
        <w:rPr>
          <w:rFonts w:hint="eastAsia" w:ascii="宋体" w:hAnsi="宋体" w:eastAsia="宋体" w:cs="宋体"/>
          <w:b/>
          <w:bCs/>
          <w:color w:val="auto"/>
          <w:kern w:val="44"/>
          <w:sz w:val="32"/>
          <w:szCs w:val="32"/>
          <w:highlight w:val="none"/>
        </w:rPr>
        <w:t xml:space="preserve">第六章  </w:t>
      </w:r>
      <w:bookmarkEnd w:id="215"/>
      <w:bookmarkEnd w:id="216"/>
      <w:bookmarkEnd w:id="217"/>
      <w:r>
        <w:rPr>
          <w:rFonts w:hint="eastAsia" w:ascii="宋体" w:hAnsi="宋体" w:eastAsia="宋体" w:cs="宋体"/>
          <w:b/>
          <w:bCs/>
          <w:color w:val="auto"/>
          <w:kern w:val="44"/>
          <w:sz w:val="32"/>
          <w:szCs w:val="32"/>
          <w:highlight w:val="none"/>
        </w:rPr>
        <w:t>比选程序和方法</w:t>
      </w:r>
      <w:bookmarkEnd w:id="218"/>
      <w:bookmarkEnd w:id="223"/>
      <w:bookmarkStart w:id="224" w:name="_综合评分前附表"/>
      <w:bookmarkStart w:id="225" w:name="_Toc22394_WPSOffice_Level3"/>
      <w:bookmarkStart w:id="226" w:name="_Toc22745_WPSOffice_Level2"/>
    </w:p>
    <w:bookmarkEnd w:id="224"/>
    <w:bookmarkEnd w:id="225"/>
    <w:bookmarkEnd w:id="226"/>
    <w:p>
      <w:pPr>
        <w:jc w:val="center"/>
        <w:rPr>
          <w:color w:val="auto"/>
          <w:highlight w:val="none"/>
        </w:rPr>
      </w:pPr>
      <w:bookmarkStart w:id="227" w:name="_Toc86124093"/>
      <w:bookmarkStart w:id="228" w:name="_Toc191374457"/>
      <w:bookmarkStart w:id="229" w:name="_Toc427339196"/>
      <w:bookmarkStart w:id="230" w:name="_Toc26833767"/>
      <w:bookmarkStart w:id="231" w:name="_Toc348011981"/>
      <w:bookmarkStart w:id="232" w:name="_Toc373844202"/>
      <w:bookmarkStart w:id="233" w:name="_Toc43850848"/>
      <w:bookmarkStart w:id="234" w:name="_Toc427306821"/>
      <w:bookmarkStart w:id="235" w:name="_Toc43850894"/>
      <w:r>
        <w:rPr>
          <w:rFonts w:ascii="Times New Roman" w:hAnsi="Times New Roman" w:eastAsia="宋体" w:cs="Times New Roman"/>
          <w:b/>
          <w:bCs/>
          <w:color w:val="auto"/>
          <w:sz w:val="32"/>
          <w:szCs w:val="32"/>
          <w:highlight w:val="none"/>
        </w:rPr>
        <w:t>1</w:t>
      </w:r>
      <w:bookmarkEnd w:id="227"/>
      <w:bookmarkEnd w:id="228"/>
      <w:bookmarkEnd w:id="229"/>
      <w:bookmarkEnd w:id="230"/>
      <w:bookmarkEnd w:id="231"/>
      <w:bookmarkEnd w:id="232"/>
      <w:bookmarkEnd w:id="233"/>
      <w:bookmarkEnd w:id="234"/>
      <w:bookmarkEnd w:id="235"/>
      <w:r>
        <w:rPr>
          <w:rFonts w:ascii="Times New Roman" w:hAnsi="Times New Roman" w:eastAsia="宋体" w:cs="Times New Roman"/>
          <w:b/>
          <w:bCs/>
          <w:color w:val="auto"/>
          <w:sz w:val="32"/>
          <w:szCs w:val="32"/>
          <w:highlight w:val="none"/>
        </w:rPr>
        <w:t>.比选程序和方法前附表</w:t>
      </w:r>
      <w:bookmarkStart w:id="236" w:name="_Toc11788_WPSOffice_Level3"/>
      <w:bookmarkStart w:id="237" w:name="_Toc468805876"/>
      <w:bookmarkStart w:id="238" w:name="_Toc9044"/>
      <w:bookmarkStart w:id="239" w:name="_Toc19784_WPSOffice_Level2"/>
    </w:p>
    <w:tbl>
      <w:tblPr>
        <w:tblStyle w:val="25"/>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93"/>
        <w:gridCol w:w="1274"/>
        <w:gridCol w:w="994"/>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1787" w:type="dxa"/>
            <w:gridSpan w:val="2"/>
            <w:vAlign w:val="center"/>
          </w:tcPr>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2268" w:type="dxa"/>
            <w:gridSpan w:val="2"/>
            <w:vAlign w:val="center"/>
          </w:tcPr>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评 审 内 容</w:t>
            </w:r>
          </w:p>
        </w:tc>
        <w:tc>
          <w:tcPr>
            <w:tcW w:w="6037" w:type="dxa"/>
            <w:vAlign w:val="center"/>
          </w:tcPr>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Merge w:val="restart"/>
            <w:vAlign w:val="center"/>
          </w:tcPr>
          <w:p>
            <w:pPr>
              <w:spacing w:before="100" w:beforeAutospacing="1" w:after="100" w:afterAutospacing="1" w:line="440" w:lineRule="exact"/>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1.1</w:t>
            </w:r>
          </w:p>
        </w:tc>
        <w:tc>
          <w:tcPr>
            <w:tcW w:w="993" w:type="dxa"/>
            <w:vMerge w:val="restart"/>
            <w:vAlign w:val="center"/>
          </w:tcPr>
          <w:p>
            <w:pPr>
              <w:spacing w:before="100" w:beforeAutospacing="1" w:after="100" w:afterAutospacing="1"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资格评审标准</w:t>
            </w:r>
          </w:p>
        </w:tc>
        <w:tc>
          <w:tcPr>
            <w:tcW w:w="2268" w:type="dxa"/>
            <w:gridSpan w:val="2"/>
            <w:vAlign w:val="center"/>
          </w:tcPr>
          <w:p>
            <w:pPr>
              <w:rPr>
                <w:rFonts w:ascii="Times New Roman" w:hAnsi="Times New Roman" w:cs="Times New Roman"/>
                <w:color w:val="auto"/>
                <w:szCs w:val="21"/>
                <w:highlight w:val="none"/>
              </w:rPr>
            </w:pPr>
            <w:r>
              <w:rPr>
                <w:rFonts w:hint="eastAsia" w:ascii="Times New Roman" w:hAnsi="Times New Roman" w:eastAsia="宋体" w:cs="Times New Roman"/>
                <w:color w:val="auto"/>
                <w:highlight w:val="none"/>
              </w:rPr>
              <w:t>营业执照</w:t>
            </w:r>
          </w:p>
        </w:tc>
        <w:tc>
          <w:tcPr>
            <w:tcW w:w="6037" w:type="dxa"/>
            <w:vAlign w:val="center"/>
          </w:tcPr>
          <w:p>
            <w:pPr>
              <w:rPr>
                <w:rFonts w:ascii="Times New Roman" w:hAnsi="Times New Roman" w:cs="Times New Roman"/>
                <w:color w:val="auto"/>
                <w:szCs w:val="21"/>
                <w:highlight w:val="none"/>
              </w:rPr>
            </w:pPr>
            <w:r>
              <w:rPr>
                <w:rFonts w:hint="eastAsia" w:ascii="Times New Roman" w:hAnsi="Times New Roman" w:eastAsia="宋体" w:cs="Times New Roman"/>
                <w:color w:val="auto"/>
                <w:highlight w:val="none"/>
              </w:rPr>
              <w:t>提供营业执照副本复印件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Merge w:val="continue"/>
            <w:vAlign w:val="center"/>
          </w:tcPr>
          <w:p>
            <w:pPr>
              <w:spacing w:before="100" w:beforeAutospacing="1" w:after="100" w:afterAutospacing="1" w:line="440" w:lineRule="exact"/>
              <w:jc w:val="center"/>
              <w:rPr>
                <w:rFonts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ascii="Times New Roman" w:hAnsi="Times New Roman" w:cs="Times New Roman"/>
                <w:color w:val="auto"/>
                <w:szCs w:val="21"/>
                <w:highlight w:val="none"/>
              </w:rPr>
            </w:pPr>
          </w:p>
        </w:tc>
        <w:tc>
          <w:tcPr>
            <w:tcW w:w="2268" w:type="dxa"/>
            <w:gridSpan w:val="2"/>
            <w:vAlign w:val="center"/>
          </w:tcPr>
          <w:p>
            <w:pPr>
              <w:rPr>
                <w:rFonts w:ascii="Times New Roman" w:hAnsi="Times New Roman" w:cs="Times New Roman"/>
                <w:color w:val="auto"/>
                <w:szCs w:val="21"/>
                <w:highlight w:val="none"/>
              </w:rPr>
            </w:pPr>
            <w:r>
              <w:rPr>
                <w:rFonts w:hint="eastAsia" w:ascii="Times New Roman" w:hAnsi="Times New Roman" w:eastAsia="宋体" w:cs="Times New Roman"/>
                <w:color w:val="auto"/>
                <w:highlight w:val="none"/>
              </w:rPr>
              <w:t>信誉</w:t>
            </w:r>
          </w:p>
        </w:tc>
        <w:tc>
          <w:tcPr>
            <w:tcW w:w="6037" w:type="dxa"/>
            <w:vAlign w:val="center"/>
          </w:tcPr>
          <w:p>
            <w:pP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参加政府采购活动前3年内在经营活动中没有重大违法记录的书面声明，须提供书面声明并加盖公章；</w:t>
            </w:r>
          </w:p>
          <w:p>
            <w:pP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在比选申请截止时间前未被列入“信用中国”网站（www.creditchina.gov.cn）失信被执行人、重大税收违法案件当事人名单、政府采购严重违法失信行为记录名单及中国政府采购网（www.ccgp.gov.cn）“政府采购严重违法失信行为信息记录”（提供查询网页截图），且须提供承诺函（格式自拟）并加盖公章。若为失信企业，将取消</w:t>
            </w:r>
            <w:r>
              <w:rPr>
                <w:rFonts w:hint="eastAsia" w:ascii="Times New Roman" w:hAnsi="Times New Roman" w:cs="Times New Roman"/>
                <w:color w:val="auto"/>
                <w:szCs w:val="21"/>
                <w:highlight w:val="none"/>
                <w:lang w:val="en-US" w:eastAsia="zh-CN"/>
              </w:rPr>
              <w:t>中选</w:t>
            </w:r>
            <w:r>
              <w:rPr>
                <w:rFonts w:hint="eastAsia" w:ascii="Times New Roman" w:hAnsi="Times New Roman" w:cs="Times New Roman"/>
                <w:color w:val="auto"/>
                <w:szCs w:val="21"/>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Merge w:val="continue"/>
            <w:vAlign w:val="center"/>
          </w:tcPr>
          <w:p>
            <w:pPr>
              <w:spacing w:before="100" w:beforeAutospacing="1" w:after="100" w:afterAutospacing="1" w:line="440" w:lineRule="exact"/>
              <w:jc w:val="center"/>
              <w:rPr>
                <w:rFonts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ascii="Times New Roman" w:hAnsi="Times New Roman" w:cs="Times New Roman"/>
                <w:color w:val="auto"/>
                <w:szCs w:val="21"/>
                <w:highlight w:val="none"/>
              </w:rPr>
            </w:pPr>
          </w:p>
        </w:tc>
        <w:tc>
          <w:tcPr>
            <w:tcW w:w="2268" w:type="dxa"/>
            <w:gridSpan w:val="2"/>
            <w:vAlign w:val="center"/>
          </w:tcPr>
          <w:p>
            <w:pPr>
              <w:rPr>
                <w:rFonts w:ascii="Times New Roman" w:hAnsi="Times New Roman" w:cs="Times New Roman"/>
                <w:color w:val="auto"/>
                <w:szCs w:val="21"/>
                <w:highlight w:val="none"/>
              </w:rPr>
            </w:pPr>
            <w:r>
              <w:rPr>
                <w:rFonts w:hint="eastAsia" w:ascii="Times New Roman" w:hAnsi="Times New Roman" w:eastAsia="宋体" w:cs="Times New Roman"/>
                <w:color w:val="auto"/>
                <w:highlight w:val="none"/>
              </w:rPr>
              <w:t>财务状况</w:t>
            </w:r>
          </w:p>
        </w:tc>
        <w:tc>
          <w:tcPr>
            <w:tcW w:w="6037" w:type="dxa"/>
            <w:vAlign w:val="center"/>
          </w:tcPr>
          <w:p>
            <w:pP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具有良好的商业信誉和健全的财务会计制度，比选申请人须提供2021年度至今任</w:t>
            </w:r>
            <w:r>
              <w:rPr>
                <w:rFonts w:hint="eastAsia" w:ascii="Times New Roman" w:hAnsi="Times New Roman" w:cs="Times New Roman"/>
                <w:color w:val="auto"/>
                <w:szCs w:val="21"/>
                <w:highlight w:val="none"/>
              </w:rPr>
              <w:t>意一个年度的财务状况报告复印件，如资产负债表、现金流量表、利润表和财务情况说明书（2022年以后新成立企业此项不参与考核）。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Merge w:val="continue"/>
            <w:vAlign w:val="center"/>
          </w:tcPr>
          <w:p>
            <w:pPr>
              <w:spacing w:before="100" w:beforeAutospacing="1" w:after="100" w:afterAutospacing="1" w:line="440" w:lineRule="exact"/>
              <w:jc w:val="center"/>
              <w:rPr>
                <w:rFonts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ascii="Times New Roman" w:hAnsi="Times New Roman" w:cs="Times New Roman"/>
                <w:color w:val="auto"/>
                <w:szCs w:val="21"/>
                <w:highlight w:val="none"/>
              </w:rPr>
            </w:pPr>
          </w:p>
        </w:tc>
        <w:tc>
          <w:tcPr>
            <w:tcW w:w="2268" w:type="dxa"/>
            <w:gridSpan w:val="2"/>
            <w:vAlign w:val="center"/>
          </w:tcPr>
          <w:p>
            <w:pPr>
              <w:rPr>
                <w:rFonts w:ascii="Times New Roman" w:hAnsi="Times New Roman" w:cs="Times New Roman"/>
                <w:color w:val="auto"/>
                <w:szCs w:val="21"/>
                <w:highlight w:val="none"/>
              </w:rPr>
            </w:pPr>
            <w:r>
              <w:rPr>
                <w:rFonts w:hint="eastAsia" w:ascii="Times New Roman" w:hAnsi="Times New Roman" w:eastAsia="宋体" w:cs="Times New Roman"/>
                <w:color w:val="auto"/>
                <w:highlight w:val="none"/>
              </w:rPr>
              <w:t>依法缴纳税收相关材料</w:t>
            </w:r>
          </w:p>
        </w:tc>
        <w:tc>
          <w:tcPr>
            <w:tcW w:w="6037" w:type="dxa"/>
            <w:vAlign w:val="center"/>
          </w:tcPr>
          <w:p>
            <w:pP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比选申请人须提供2021年1月至今期间（税款所属时期）任意3个月的税务局税收通用缴款书复印件或银行电子缴税（费）凭证复印件或税务局出具纳税情况的相关证明复印件（2022年以后新成立企业此项不参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Merge w:val="continue"/>
            <w:vAlign w:val="center"/>
          </w:tcPr>
          <w:p>
            <w:pPr>
              <w:spacing w:before="100" w:beforeAutospacing="1" w:after="100" w:afterAutospacing="1" w:line="440" w:lineRule="exact"/>
              <w:jc w:val="center"/>
              <w:rPr>
                <w:rFonts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ascii="Times New Roman" w:hAnsi="Times New Roman" w:cs="Times New Roman"/>
                <w:color w:val="auto"/>
                <w:szCs w:val="21"/>
                <w:highlight w:val="none"/>
              </w:rPr>
            </w:pPr>
          </w:p>
        </w:tc>
        <w:tc>
          <w:tcPr>
            <w:tcW w:w="2268" w:type="dxa"/>
            <w:gridSpan w:val="2"/>
            <w:vAlign w:val="center"/>
          </w:tcPr>
          <w:p>
            <w:pPr>
              <w:rPr>
                <w:rFonts w:ascii="Times New Roman" w:hAnsi="Times New Roman" w:cs="Times New Roman"/>
                <w:color w:val="auto"/>
                <w:szCs w:val="21"/>
                <w:highlight w:val="none"/>
              </w:rPr>
            </w:pPr>
            <w:r>
              <w:rPr>
                <w:rFonts w:hint="eastAsia" w:ascii="Times New Roman" w:hAnsi="Times New Roman" w:eastAsia="宋体" w:cs="Times New Roman"/>
                <w:color w:val="auto"/>
                <w:highlight w:val="none"/>
              </w:rPr>
              <w:t>依法缴纳社会保障资金的相关材料</w:t>
            </w:r>
          </w:p>
        </w:tc>
        <w:tc>
          <w:tcPr>
            <w:tcW w:w="6037" w:type="dxa"/>
            <w:vAlign w:val="center"/>
          </w:tcPr>
          <w:p>
            <w:pP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比选申请人须提供2021年1月至今期间（费款所属时期）任意3个月的社会保险费缴款书复印件或银行电子缴税（费）凭证复印件或社保管理部门出具的有效的缴款证明复印件（2022年以后新成立企业此项不参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Merge w:val="continue"/>
            <w:vAlign w:val="center"/>
          </w:tcPr>
          <w:p>
            <w:pPr>
              <w:spacing w:before="100" w:beforeAutospacing="1" w:after="100" w:afterAutospacing="1" w:line="440" w:lineRule="exact"/>
              <w:jc w:val="center"/>
              <w:rPr>
                <w:rFonts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ascii="Times New Roman" w:hAnsi="Times New Roman" w:cs="Times New Roman"/>
                <w:color w:val="auto"/>
                <w:szCs w:val="21"/>
                <w:highlight w:val="none"/>
              </w:rPr>
            </w:pPr>
          </w:p>
        </w:tc>
        <w:tc>
          <w:tcPr>
            <w:tcW w:w="2268" w:type="dxa"/>
            <w:gridSpan w:val="2"/>
            <w:vAlign w:val="center"/>
          </w:tcPr>
          <w:p>
            <w:pPr>
              <w:rPr>
                <w:rFonts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lang w:val="en-US" w:eastAsia="zh-CN"/>
              </w:rPr>
              <w:t>比选</w:t>
            </w:r>
            <w:r>
              <w:rPr>
                <w:rFonts w:hint="eastAsia" w:ascii="Times New Roman" w:hAnsi="Times New Roman" w:eastAsia="宋体" w:cs="Times New Roman"/>
                <w:color w:val="auto"/>
                <w:szCs w:val="21"/>
                <w:highlight w:val="none"/>
              </w:rPr>
              <w:t>保证金</w:t>
            </w:r>
          </w:p>
        </w:tc>
        <w:tc>
          <w:tcPr>
            <w:tcW w:w="6037" w:type="dxa"/>
            <w:vAlign w:val="center"/>
          </w:tcPr>
          <w:p>
            <w:pPr>
              <w:pStyle w:val="9"/>
              <w:jc w:val="left"/>
              <w:rPr>
                <w:rFonts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rPr>
              <w:t>按要求按时足额缴纳</w:t>
            </w:r>
            <w:r>
              <w:rPr>
                <w:rFonts w:hint="eastAsia" w:ascii="Times New Roman" w:hAnsi="Times New Roman" w:eastAsia="宋体"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Merge w:val="continue"/>
            <w:vAlign w:val="center"/>
          </w:tcPr>
          <w:p>
            <w:pPr>
              <w:spacing w:before="100" w:beforeAutospacing="1" w:after="100" w:afterAutospacing="1" w:line="440" w:lineRule="exact"/>
              <w:jc w:val="center"/>
              <w:rPr>
                <w:rFonts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ascii="Times New Roman" w:hAnsi="Times New Roman" w:cs="Times New Roman"/>
                <w:color w:val="auto"/>
                <w:szCs w:val="21"/>
                <w:highlight w:val="none"/>
              </w:rPr>
            </w:pPr>
          </w:p>
        </w:tc>
        <w:tc>
          <w:tcPr>
            <w:tcW w:w="2268" w:type="dxa"/>
            <w:gridSpan w:val="2"/>
            <w:vAlign w:val="center"/>
          </w:tcPr>
          <w:p>
            <w:pP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特定</w:t>
            </w:r>
            <w:r>
              <w:rPr>
                <w:rFonts w:hint="eastAsia" w:ascii="Times New Roman" w:hAnsi="Times New Roman" w:eastAsia="宋体" w:cs="Times New Roman"/>
                <w:color w:val="auto"/>
                <w:szCs w:val="21"/>
                <w:highlight w:val="none"/>
                <w:lang w:val="en-US" w:eastAsia="zh-CN"/>
              </w:rPr>
              <w:t>资格</w:t>
            </w:r>
            <w:r>
              <w:rPr>
                <w:rFonts w:hint="eastAsia" w:ascii="Times New Roman" w:hAnsi="Times New Roman" w:eastAsia="宋体" w:cs="Times New Roman"/>
                <w:color w:val="auto"/>
                <w:szCs w:val="21"/>
                <w:highlight w:val="none"/>
              </w:rPr>
              <w:t>条件</w:t>
            </w:r>
          </w:p>
        </w:tc>
        <w:tc>
          <w:tcPr>
            <w:tcW w:w="6037" w:type="dxa"/>
            <w:vAlign w:val="center"/>
          </w:tcPr>
          <w:p>
            <w:pPr>
              <w:pStyle w:val="9"/>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提供</w:t>
            </w:r>
            <w:r>
              <w:rPr>
                <w:rFonts w:hint="eastAsia" w:ascii="Times New Roman" w:hAnsi="Times New Roman" w:eastAsia="宋体" w:cs="Times New Roman"/>
                <w:color w:val="auto"/>
                <w:szCs w:val="21"/>
                <w:highlight w:val="none"/>
              </w:rPr>
              <w:t>有效的《食品流通许可证》或《食品经营许可证》</w:t>
            </w:r>
            <w:r>
              <w:rPr>
                <w:rFonts w:hint="eastAsia" w:ascii="Times New Roman" w:hAnsi="Times New Roman" w:eastAsia="宋体" w:cs="Times New Roman"/>
                <w:color w:val="auto"/>
                <w:highlight w:val="none"/>
              </w:rPr>
              <w:t>复印件</w:t>
            </w:r>
            <w:r>
              <w:rPr>
                <w:rFonts w:hint="eastAsia" w:ascii="Times New Roman" w:hAnsi="Times New Roman"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94" w:type="dxa"/>
            <w:vMerge w:val="restart"/>
            <w:vAlign w:val="center"/>
          </w:tcPr>
          <w:p>
            <w:pPr>
              <w:spacing w:before="100" w:beforeAutospacing="1" w:after="100" w:afterAutospacing="1"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1.2</w:t>
            </w:r>
          </w:p>
        </w:tc>
        <w:tc>
          <w:tcPr>
            <w:tcW w:w="993" w:type="dxa"/>
            <w:vMerge w:val="restart"/>
            <w:vAlign w:val="center"/>
          </w:tcPr>
          <w:p>
            <w:pPr>
              <w:spacing w:before="100" w:beforeAutospacing="1" w:after="100" w:afterAutospacing="1" w:line="440" w:lineRule="exact"/>
              <w:jc w:val="center"/>
              <w:rPr>
                <w:rFonts w:ascii="Times New Roman" w:hAnsi="Times New Roman" w:cs="Times New Roman"/>
                <w:color w:val="auto"/>
                <w:szCs w:val="21"/>
                <w:highlight w:val="none"/>
              </w:rPr>
            </w:pPr>
          </w:p>
          <w:p>
            <w:pPr>
              <w:spacing w:before="100" w:beforeAutospacing="1" w:after="100" w:afterAutospacing="1" w:line="440" w:lineRule="exact"/>
              <w:jc w:val="center"/>
              <w:rPr>
                <w:rFonts w:ascii="Times New Roman" w:hAnsi="Times New Roman" w:cs="Times New Roman"/>
                <w:color w:val="auto"/>
                <w:szCs w:val="21"/>
                <w:highlight w:val="none"/>
              </w:rPr>
            </w:pPr>
          </w:p>
          <w:p>
            <w:pPr>
              <w:spacing w:before="100" w:beforeAutospacing="1" w:after="100" w:afterAutospacing="1"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符合性评审标准</w:t>
            </w:r>
          </w:p>
        </w:tc>
        <w:tc>
          <w:tcPr>
            <w:tcW w:w="2268" w:type="dxa"/>
            <w:gridSpan w:val="2"/>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比选申请文件格式</w:t>
            </w:r>
          </w:p>
        </w:tc>
        <w:tc>
          <w:tcPr>
            <w:tcW w:w="6037" w:type="dxa"/>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比选申请文件按比选文件格式及内容要求签字、盖章。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4" w:type="dxa"/>
            <w:vMerge w:val="continue"/>
            <w:vAlign w:val="center"/>
          </w:tcPr>
          <w:p>
            <w:pPr>
              <w:spacing w:before="100" w:beforeAutospacing="1" w:after="100" w:afterAutospacing="1" w:line="440" w:lineRule="exact"/>
              <w:jc w:val="center"/>
              <w:rPr>
                <w:rFonts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ascii="Times New Roman" w:hAnsi="Times New Roman" w:cs="Times New Roman"/>
                <w:color w:val="auto"/>
                <w:szCs w:val="21"/>
                <w:highlight w:val="none"/>
              </w:rPr>
            </w:pPr>
          </w:p>
        </w:tc>
        <w:tc>
          <w:tcPr>
            <w:tcW w:w="2268" w:type="dxa"/>
            <w:gridSpan w:val="2"/>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比选申请书</w:t>
            </w:r>
          </w:p>
        </w:tc>
        <w:tc>
          <w:tcPr>
            <w:tcW w:w="6037" w:type="dxa"/>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有法定代表人签名或盖章，并盖单位公章；符合比选文件给定格式及内容；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Merge w:val="continue"/>
            <w:vAlign w:val="center"/>
          </w:tcPr>
          <w:p>
            <w:pPr>
              <w:spacing w:before="100" w:beforeAutospacing="1" w:after="100" w:afterAutospacing="1" w:line="440" w:lineRule="exact"/>
              <w:jc w:val="center"/>
              <w:rPr>
                <w:rFonts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ascii="Times New Roman" w:hAnsi="Times New Roman" w:cs="Times New Roman"/>
                <w:color w:val="auto"/>
                <w:szCs w:val="21"/>
                <w:highlight w:val="none"/>
              </w:rPr>
            </w:pPr>
          </w:p>
        </w:tc>
        <w:tc>
          <w:tcPr>
            <w:tcW w:w="2268" w:type="dxa"/>
            <w:gridSpan w:val="2"/>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法定代表人身份证明书</w:t>
            </w:r>
          </w:p>
        </w:tc>
        <w:tc>
          <w:tcPr>
            <w:tcW w:w="6037" w:type="dxa"/>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符合比选文件给定格式及内容,并盖单位公章；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94" w:type="dxa"/>
            <w:vMerge w:val="continue"/>
            <w:vAlign w:val="center"/>
          </w:tcPr>
          <w:p>
            <w:pPr>
              <w:spacing w:before="100" w:beforeAutospacing="1" w:after="100" w:afterAutospacing="1" w:line="440" w:lineRule="exact"/>
              <w:rPr>
                <w:rFonts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rPr>
                <w:rFonts w:ascii="Times New Roman" w:hAnsi="Times New Roman" w:cs="Times New Roman"/>
                <w:color w:val="auto"/>
                <w:szCs w:val="21"/>
                <w:highlight w:val="none"/>
              </w:rPr>
            </w:pPr>
          </w:p>
        </w:tc>
        <w:tc>
          <w:tcPr>
            <w:tcW w:w="2268" w:type="dxa"/>
            <w:gridSpan w:val="2"/>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法定代表人授权委托书</w:t>
            </w:r>
          </w:p>
        </w:tc>
        <w:tc>
          <w:tcPr>
            <w:tcW w:w="6037" w:type="dxa"/>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有法定代表人签章，并盖单位公章；符合比选文件给定格式及内容；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94" w:type="dxa"/>
            <w:vMerge w:val="continue"/>
            <w:vAlign w:val="center"/>
          </w:tcPr>
          <w:p>
            <w:pPr>
              <w:spacing w:before="100" w:beforeAutospacing="1" w:after="100" w:afterAutospacing="1" w:line="440" w:lineRule="exact"/>
              <w:rPr>
                <w:rFonts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rPr>
                <w:rFonts w:ascii="Times New Roman" w:hAnsi="Times New Roman" w:cs="Times New Roman"/>
                <w:color w:val="auto"/>
                <w:szCs w:val="21"/>
                <w:highlight w:val="none"/>
              </w:rPr>
            </w:pPr>
          </w:p>
        </w:tc>
        <w:tc>
          <w:tcPr>
            <w:tcW w:w="2268" w:type="dxa"/>
            <w:gridSpan w:val="2"/>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比选报价</w:t>
            </w:r>
          </w:p>
        </w:tc>
        <w:tc>
          <w:tcPr>
            <w:tcW w:w="6037" w:type="dxa"/>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完整，只有一个有效报价且未超出比选文件中的规定；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94" w:type="dxa"/>
            <w:vMerge w:val="continue"/>
            <w:vAlign w:val="center"/>
          </w:tcPr>
          <w:p>
            <w:pPr>
              <w:spacing w:before="100" w:beforeAutospacing="1" w:after="100" w:afterAutospacing="1" w:line="440" w:lineRule="exact"/>
              <w:rPr>
                <w:rFonts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rPr>
                <w:rFonts w:ascii="Times New Roman" w:hAnsi="Times New Roman" w:cs="Times New Roman"/>
                <w:color w:val="auto"/>
                <w:szCs w:val="21"/>
                <w:highlight w:val="none"/>
              </w:rPr>
            </w:pPr>
          </w:p>
        </w:tc>
        <w:tc>
          <w:tcPr>
            <w:tcW w:w="2268" w:type="dxa"/>
            <w:gridSpan w:val="2"/>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eastAsia="宋体" w:cs="Times New Roman"/>
                <w:color w:val="auto"/>
                <w:kern w:val="0"/>
                <w:szCs w:val="21"/>
                <w:highlight w:val="none"/>
              </w:rPr>
              <w:t>申请文件</w:t>
            </w:r>
            <w:r>
              <w:rPr>
                <w:rFonts w:hint="eastAsia" w:ascii="Times New Roman" w:hAnsi="Times New Roman" w:cs="Times New Roman"/>
                <w:color w:val="auto"/>
                <w:szCs w:val="21"/>
                <w:highlight w:val="none"/>
              </w:rPr>
              <w:t>有效期</w:t>
            </w:r>
          </w:p>
        </w:tc>
        <w:tc>
          <w:tcPr>
            <w:tcW w:w="6037" w:type="dxa"/>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符合第二章“申请人须知”第1</w:t>
            </w:r>
            <w:r>
              <w:rPr>
                <w:rFonts w:hint="eastAsia" w:ascii="Times New Roman" w:hAnsi="Times New Roman" w:cs="Times New Roman"/>
                <w:color w:val="auto"/>
                <w:szCs w:val="21"/>
                <w:highlight w:val="none"/>
                <w:lang w:val="en-US" w:eastAsia="zh-CN"/>
              </w:rPr>
              <w:t>5</w:t>
            </w:r>
            <w:r>
              <w:rPr>
                <w:rFonts w:hint="eastAsia" w:ascii="Times New Roman" w:hAnsi="Times New Roman" w:cs="Times New Roman"/>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94" w:type="dxa"/>
            <w:vMerge w:val="continue"/>
            <w:vAlign w:val="center"/>
          </w:tcPr>
          <w:p>
            <w:pPr>
              <w:spacing w:before="100" w:beforeAutospacing="1" w:after="100" w:afterAutospacing="1" w:line="440" w:lineRule="exact"/>
              <w:rPr>
                <w:rFonts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rPr>
                <w:rFonts w:ascii="Times New Roman" w:hAnsi="Times New Roman" w:cs="Times New Roman"/>
                <w:color w:val="auto"/>
                <w:szCs w:val="21"/>
                <w:highlight w:val="none"/>
              </w:rPr>
            </w:pPr>
          </w:p>
        </w:tc>
        <w:tc>
          <w:tcPr>
            <w:tcW w:w="2268" w:type="dxa"/>
            <w:gridSpan w:val="2"/>
            <w:vAlign w:val="center"/>
          </w:tcPr>
          <w:p>
            <w:pPr>
              <w:snapToGrid w:val="0"/>
              <w:spacing w:line="360" w:lineRule="auto"/>
              <w:rPr>
                <w:rFonts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rPr>
              <w:t>采购内容</w:t>
            </w:r>
          </w:p>
        </w:tc>
        <w:tc>
          <w:tcPr>
            <w:tcW w:w="6037" w:type="dxa"/>
            <w:vAlign w:val="center"/>
          </w:tcPr>
          <w:p>
            <w:pPr>
              <w:snapToGrid w:val="0"/>
              <w:spacing w:line="360" w:lineRule="auto"/>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rPr>
              <w:t>比选申请人所参选食材</w:t>
            </w:r>
            <w:r>
              <w:rPr>
                <w:rFonts w:hint="eastAsia" w:ascii="Times New Roman" w:hAnsi="Times New Roman" w:cs="Times New Roman"/>
                <w:color w:val="auto"/>
                <w:szCs w:val="21"/>
                <w:highlight w:val="none"/>
                <w:lang w:val="en-US" w:eastAsia="zh-CN"/>
              </w:rPr>
              <w:t>及相关要求须与</w:t>
            </w:r>
            <w:r>
              <w:rPr>
                <w:rFonts w:hint="eastAsia" w:ascii="Times New Roman" w:hAnsi="Times New Roman" w:cs="Times New Roman"/>
                <w:color w:val="auto"/>
                <w:szCs w:val="21"/>
                <w:highlight w:val="none"/>
              </w:rPr>
              <w:t>比选文件采购需求规定</w:t>
            </w:r>
            <w:r>
              <w:rPr>
                <w:rFonts w:hint="eastAsia" w:ascii="Times New Roman" w:hAnsi="Times New Roman" w:cs="Times New Roman"/>
                <w:color w:val="auto"/>
                <w:szCs w:val="21"/>
                <w:highlight w:val="no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94" w:type="dxa"/>
            <w:vMerge w:val="continue"/>
            <w:vAlign w:val="center"/>
          </w:tcPr>
          <w:p>
            <w:pPr>
              <w:spacing w:before="100" w:beforeAutospacing="1" w:after="100" w:afterAutospacing="1" w:line="440" w:lineRule="exact"/>
              <w:rPr>
                <w:rFonts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rPr>
                <w:rFonts w:ascii="Times New Roman" w:hAnsi="Times New Roman" w:cs="Times New Roman"/>
                <w:color w:val="auto"/>
                <w:szCs w:val="21"/>
                <w:highlight w:val="none"/>
              </w:rPr>
            </w:pPr>
          </w:p>
        </w:tc>
        <w:tc>
          <w:tcPr>
            <w:tcW w:w="2268" w:type="dxa"/>
            <w:gridSpan w:val="2"/>
            <w:vAlign w:val="center"/>
          </w:tcPr>
          <w:p>
            <w:pPr>
              <w:rPr>
                <w:rFonts w:hint="eastAsia"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lang w:val="en-US" w:eastAsia="zh-CN"/>
              </w:rPr>
              <w:t>比选</w:t>
            </w:r>
            <w:r>
              <w:rPr>
                <w:rFonts w:hint="eastAsia" w:ascii="Times New Roman" w:hAnsi="Times New Roman" w:eastAsia="宋体" w:cs="Times New Roman"/>
                <w:color w:val="auto"/>
                <w:szCs w:val="21"/>
                <w:highlight w:val="none"/>
              </w:rPr>
              <w:t>是否有效</w:t>
            </w:r>
          </w:p>
        </w:tc>
        <w:tc>
          <w:tcPr>
            <w:tcW w:w="6037" w:type="dxa"/>
            <w:vAlign w:val="center"/>
          </w:tcPr>
          <w:p>
            <w:pPr>
              <w:rPr>
                <w:rFonts w:hint="eastAsia"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rPr>
              <w:t>无</w:t>
            </w:r>
            <w:r>
              <w:rPr>
                <w:rFonts w:hint="eastAsia" w:ascii="Times New Roman" w:hAnsi="Times New Roman" w:eastAsia="宋体" w:cs="Times New Roman"/>
                <w:color w:val="auto"/>
                <w:szCs w:val="21"/>
                <w:highlight w:val="none"/>
                <w:lang w:val="en-US" w:eastAsia="zh-CN"/>
              </w:rPr>
              <w:t>比选</w:t>
            </w:r>
            <w:r>
              <w:rPr>
                <w:rFonts w:hint="eastAsia" w:ascii="Times New Roman" w:hAnsi="Times New Roman" w:eastAsia="宋体" w:cs="Times New Roman"/>
                <w:color w:val="auto"/>
                <w:szCs w:val="21"/>
                <w:highlight w:val="none"/>
              </w:rPr>
              <w:t>文件规定的其他</w:t>
            </w:r>
            <w:r>
              <w:rPr>
                <w:rFonts w:hint="eastAsia" w:ascii="Times New Roman" w:hAnsi="Times New Roman" w:eastAsia="宋体" w:cs="Times New Roman"/>
                <w:color w:val="auto"/>
                <w:szCs w:val="21"/>
                <w:highlight w:val="none"/>
                <w:lang w:val="en-US" w:eastAsia="zh-CN"/>
              </w:rPr>
              <w:t>比选</w:t>
            </w:r>
            <w:r>
              <w:rPr>
                <w:rFonts w:hint="eastAsia" w:ascii="Times New Roman" w:hAnsi="Times New Roman" w:eastAsia="宋体" w:cs="Times New Roman"/>
                <w:color w:val="auto"/>
                <w:szCs w:val="21"/>
                <w:highlight w:val="none"/>
              </w:rPr>
              <w:t>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794" w:type="dxa"/>
            <w:vAlign w:val="center"/>
          </w:tcPr>
          <w:p>
            <w:pPr>
              <w:spacing w:line="440" w:lineRule="exact"/>
              <w:rPr>
                <w:rFonts w:ascii="Times New Roman" w:hAnsi="Times New Roman" w:cs="Times New Roman"/>
                <w:color w:val="auto"/>
                <w:szCs w:val="21"/>
                <w:highlight w:val="none"/>
              </w:rPr>
            </w:pPr>
            <w:r>
              <w:rPr>
                <w:rFonts w:ascii="Times New Roman" w:hAnsi="Times New Roman" w:cs="Times New Roman"/>
                <w:color w:val="auto"/>
                <w:szCs w:val="21"/>
                <w:highlight w:val="none"/>
              </w:rPr>
              <w:t>1.3</w:t>
            </w:r>
          </w:p>
        </w:tc>
        <w:tc>
          <w:tcPr>
            <w:tcW w:w="993" w:type="dxa"/>
            <w:vAlign w:val="center"/>
          </w:tcPr>
          <w:p>
            <w:pPr>
              <w:spacing w:line="440" w:lineRule="exact"/>
              <w:rPr>
                <w:rFonts w:ascii="Times New Roman" w:hAnsi="Times New Roman" w:cs="Times New Roman"/>
                <w:color w:val="auto"/>
                <w:szCs w:val="21"/>
                <w:highlight w:val="none"/>
              </w:rPr>
            </w:pPr>
            <w:r>
              <w:rPr>
                <w:rFonts w:ascii="Times New Roman" w:hAnsi="Times New Roman" w:cs="Times New Roman"/>
                <w:color w:val="auto"/>
                <w:szCs w:val="21"/>
                <w:highlight w:val="none"/>
              </w:rPr>
              <w:t>评分标准</w:t>
            </w:r>
          </w:p>
        </w:tc>
        <w:tc>
          <w:tcPr>
            <w:tcW w:w="1274" w:type="dxa"/>
            <w:vAlign w:val="center"/>
          </w:tcPr>
          <w:p>
            <w:pPr>
              <w:snapToGrid w:val="0"/>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比选</w:t>
            </w:r>
          </w:p>
          <w:p>
            <w:pPr>
              <w:snapToGrid w:val="0"/>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总得分</w:t>
            </w:r>
          </w:p>
        </w:tc>
        <w:tc>
          <w:tcPr>
            <w:tcW w:w="994" w:type="dxa"/>
            <w:vAlign w:val="center"/>
          </w:tcPr>
          <w:p>
            <w:pPr>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100</w:t>
            </w:r>
          </w:p>
        </w:tc>
        <w:tc>
          <w:tcPr>
            <w:tcW w:w="6037" w:type="dxa"/>
            <w:vAlign w:val="center"/>
          </w:tcPr>
          <w:p>
            <w:pPr>
              <w:snapToGrid w:val="0"/>
              <w:spacing w:line="440" w:lineRule="exact"/>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申请人的评标总得分满分100分</w:t>
            </w:r>
          </w:p>
          <w:p>
            <w:pPr>
              <w:snapToGrid w:val="0"/>
              <w:spacing w:line="440" w:lineRule="exact"/>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比选报价F1：30分</w:t>
            </w:r>
          </w:p>
          <w:p>
            <w:pPr>
              <w:snapToGrid w:val="0"/>
              <w:spacing w:line="440" w:lineRule="exact"/>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技术部分F2：</w:t>
            </w:r>
            <w:r>
              <w:rPr>
                <w:rFonts w:hint="eastAsia" w:ascii="Times New Roman" w:hAnsi="Times New Roman" w:eastAsia="宋体" w:cs="Times New Roman"/>
                <w:color w:val="auto"/>
                <w:highlight w:val="none"/>
              </w:rPr>
              <w:t>45</w:t>
            </w:r>
            <w:r>
              <w:rPr>
                <w:rFonts w:ascii="Times New Roman" w:hAnsi="Times New Roman" w:eastAsia="宋体" w:cs="Times New Roman"/>
                <w:color w:val="auto"/>
                <w:highlight w:val="none"/>
              </w:rPr>
              <w:t>分</w:t>
            </w:r>
          </w:p>
          <w:p>
            <w:pPr>
              <w:snapToGrid w:val="0"/>
              <w:spacing w:line="440" w:lineRule="exact"/>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商务部分F3：</w:t>
            </w:r>
            <w:r>
              <w:rPr>
                <w:rFonts w:hint="eastAsia" w:ascii="Times New Roman" w:hAnsi="Times New Roman" w:eastAsia="宋体" w:cs="Times New Roman"/>
                <w:color w:val="auto"/>
                <w:highlight w:val="none"/>
              </w:rPr>
              <w:t>25</w:t>
            </w:r>
            <w:r>
              <w:rPr>
                <w:rFonts w:ascii="Times New Roman" w:hAnsi="Times New Roman" w:eastAsia="宋体" w:cs="Times New Roman"/>
                <w:color w:val="auto"/>
                <w:highlight w:val="none"/>
              </w:rPr>
              <w:t>分</w:t>
            </w:r>
          </w:p>
          <w:p>
            <w:pPr>
              <w:snapToGrid w:val="0"/>
              <w:spacing w:line="440" w:lineRule="exact"/>
              <w:jc w:val="left"/>
              <w:rPr>
                <w:color w:val="auto"/>
                <w:highlight w:val="none"/>
              </w:rPr>
            </w:pPr>
            <w:r>
              <w:rPr>
                <w:rFonts w:ascii="Times New Roman" w:hAnsi="Times New Roman" w:eastAsia="宋体" w:cs="Times New Roman"/>
                <w:color w:val="auto"/>
                <w:highlight w:val="none"/>
              </w:rPr>
              <w:t>申请人的评审总得分= F1+F2+F3</w:t>
            </w:r>
          </w:p>
        </w:tc>
      </w:tr>
    </w:tbl>
    <w:p>
      <w:pPr>
        <w:spacing w:line="360" w:lineRule="auto"/>
        <w:ind w:firstLine="480" w:firstLineChars="200"/>
        <w:rPr>
          <w:rFonts w:ascii="宋体" w:hAnsi="宋体"/>
          <w:bCs/>
          <w:color w:val="auto"/>
          <w:sz w:val="24"/>
          <w:highlight w:val="none"/>
        </w:rPr>
      </w:pPr>
    </w:p>
    <w:p>
      <w:pPr>
        <w:widowControl/>
        <w:jc w:val="left"/>
        <w:rPr>
          <w:rFonts w:ascii="宋体" w:hAnsi="宋体"/>
          <w:bCs/>
          <w:color w:val="auto"/>
          <w:sz w:val="24"/>
          <w:highlight w:val="none"/>
        </w:rPr>
      </w:pPr>
      <w:r>
        <w:rPr>
          <w:rFonts w:ascii="宋体" w:hAnsi="宋体"/>
          <w:bCs/>
          <w:color w:val="auto"/>
          <w:sz w:val="24"/>
          <w:highlight w:val="none"/>
        </w:rPr>
        <w:br w:type="page"/>
      </w:r>
    </w:p>
    <w:p>
      <w:pPr>
        <w:jc w:val="center"/>
        <w:rPr>
          <w:rFonts w:ascii="Times New Roman" w:hAnsi="Times New Roman" w:eastAsia="宋体" w:cs="Times New Roman"/>
          <w:b/>
          <w:bCs/>
          <w:color w:val="auto"/>
          <w:sz w:val="32"/>
          <w:szCs w:val="32"/>
          <w:highlight w:val="none"/>
        </w:rPr>
      </w:pPr>
      <w:bookmarkStart w:id="240" w:name="_Toc52318205"/>
      <w:r>
        <w:rPr>
          <w:rFonts w:hint="eastAsia" w:ascii="Times New Roman" w:hAnsi="Times New Roman" w:eastAsia="宋体" w:cs="Times New Roman"/>
          <w:b/>
          <w:bCs/>
          <w:color w:val="auto"/>
          <w:sz w:val="32"/>
          <w:szCs w:val="32"/>
          <w:highlight w:val="none"/>
        </w:rPr>
        <w:t>2、评分标准</w:t>
      </w:r>
      <w:bookmarkEnd w:id="240"/>
    </w:p>
    <w:tbl>
      <w:tblPr>
        <w:tblStyle w:val="25"/>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748"/>
        <w:gridCol w:w="1216"/>
        <w:gridCol w:w="5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pct"/>
            <w:gridSpan w:val="2"/>
            <w:vAlign w:val="center"/>
          </w:tcPr>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条款号</w:t>
            </w:r>
          </w:p>
        </w:tc>
        <w:tc>
          <w:tcPr>
            <w:tcW w:w="723" w:type="pct"/>
            <w:vAlign w:val="center"/>
          </w:tcPr>
          <w:p>
            <w:pPr>
              <w:spacing w:after="200" w:line="276"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评分因素</w:t>
            </w:r>
          </w:p>
        </w:tc>
        <w:tc>
          <w:tcPr>
            <w:tcW w:w="3387" w:type="pct"/>
            <w:vAlign w:val="center"/>
          </w:tcPr>
          <w:p>
            <w:pPr>
              <w:spacing w:after="200" w:line="276"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44" w:type="pct"/>
            <w:vMerge w:val="restart"/>
            <w:vAlign w:val="center"/>
          </w:tcPr>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2.1.1（1）</w:t>
            </w:r>
          </w:p>
        </w:tc>
        <w:tc>
          <w:tcPr>
            <w:tcW w:w="445" w:type="pct"/>
            <w:vMerge w:val="restart"/>
            <w:vAlign w:val="center"/>
          </w:tcPr>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比选报价</w:t>
            </w:r>
          </w:p>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F1</w:t>
            </w:r>
          </w:p>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30分</w:t>
            </w:r>
          </w:p>
        </w:tc>
        <w:tc>
          <w:tcPr>
            <w:tcW w:w="723" w:type="pct"/>
            <w:vAlign w:val="center"/>
          </w:tcPr>
          <w:p>
            <w:pPr>
              <w:spacing w:after="200" w:line="276"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rPr>
              <w:t>评标基准价计算方法</w:t>
            </w:r>
          </w:p>
        </w:tc>
        <w:tc>
          <w:tcPr>
            <w:tcW w:w="3387" w:type="pct"/>
            <w:vAlign w:val="center"/>
          </w:tcPr>
          <w:p>
            <w:pPr>
              <w:spacing w:after="200" w:line="276"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rPr>
              <w:t>满足比选文件要求且</w:t>
            </w:r>
            <w:r>
              <w:rPr>
                <w:rFonts w:hint="default" w:ascii="Times New Roman" w:hAnsi="Times New Roman" w:eastAsia="宋体" w:cs="Times New Roman"/>
                <w:bCs/>
                <w:color w:val="auto"/>
                <w:szCs w:val="21"/>
                <w:highlight w:val="none"/>
              </w:rPr>
              <w:t>下浮率最高</w:t>
            </w:r>
            <w:r>
              <w:rPr>
                <w:rFonts w:hint="default" w:ascii="Times New Roman" w:hAnsi="Times New Roman" w:eastAsia="宋体" w:cs="Times New Roman"/>
                <w:color w:val="auto"/>
                <w:kern w:val="0"/>
                <w:szCs w:val="21"/>
                <w:highlight w:val="none"/>
              </w:rPr>
              <w:t>的比选报价为评标基准价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44" w:type="pct"/>
            <w:vMerge w:val="continue"/>
            <w:shd w:val="clear" w:color="auto" w:fill="auto"/>
            <w:vAlign w:val="center"/>
          </w:tcPr>
          <w:p>
            <w:pPr>
              <w:spacing w:after="200" w:line="276" w:lineRule="auto"/>
              <w:jc w:val="center"/>
              <w:rPr>
                <w:rFonts w:hint="default" w:ascii="Times New Roman" w:hAnsi="Times New Roman" w:eastAsia="宋体" w:cs="Times New Roman"/>
                <w:color w:val="auto"/>
                <w:szCs w:val="21"/>
                <w:highlight w:val="none"/>
              </w:rPr>
            </w:pPr>
          </w:p>
        </w:tc>
        <w:tc>
          <w:tcPr>
            <w:tcW w:w="445" w:type="pct"/>
            <w:vMerge w:val="continue"/>
            <w:shd w:val="clear" w:color="auto" w:fill="auto"/>
            <w:vAlign w:val="center"/>
          </w:tcPr>
          <w:p>
            <w:pPr>
              <w:spacing w:after="200" w:line="276" w:lineRule="auto"/>
              <w:jc w:val="center"/>
              <w:rPr>
                <w:rFonts w:hint="default" w:ascii="Times New Roman" w:hAnsi="Times New Roman" w:eastAsia="宋体" w:cs="Times New Roman"/>
                <w:color w:val="auto"/>
                <w:szCs w:val="21"/>
                <w:highlight w:val="none"/>
              </w:rPr>
            </w:pPr>
          </w:p>
        </w:tc>
        <w:tc>
          <w:tcPr>
            <w:tcW w:w="723" w:type="pct"/>
            <w:vMerge w:val="restart"/>
            <w:vAlign w:val="center"/>
          </w:tcPr>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比选报价评分</w:t>
            </w:r>
          </w:p>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（30分）</w:t>
            </w:r>
          </w:p>
        </w:tc>
        <w:tc>
          <w:tcPr>
            <w:tcW w:w="3387" w:type="pct"/>
            <w:vAlign w:val="center"/>
          </w:tcPr>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F1=（</w:t>
            </w:r>
            <w:r>
              <w:rPr>
                <w:rFonts w:hint="default" w:ascii="Times New Roman" w:hAnsi="Times New Roman" w:eastAsia="宋体" w:cs="Times New Roman"/>
                <w:color w:val="auto"/>
                <w:kern w:val="0"/>
                <w:szCs w:val="21"/>
                <w:highlight w:val="none"/>
              </w:rPr>
              <w:t>比选申请人的比选报价/评标基准价）</w:t>
            </w:r>
            <w:r>
              <w:rPr>
                <w:rFonts w:hint="default" w:ascii="Times New Roman" w:hAnsi="Times New Roman" w:eastAsia="宋体" w:cs="Times New Roman"/>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atLeast"/>
          <w:jc w:val="center"/>
        </w:trPr>
        <w:tc>
          <w:tcPr>
            <w:tcW w:w="444" w:type="pct"/>
            <w:vMerge w:val="continue"/>
            <w:shd w:val="clear" w:color="auto" w:fill="auto"/>
            <w:vAlign w:val="center"/>
          </w:tcPr>
          <w:p>
            <w:pPr>
              <w:spacing w:after="200" w:line="276" w:lineRule="auto"/>
              <w:jc w:val="center"/>
              <w:rPr>
                <w:rFonts w:hint="default" w:ascii="Times New Roman" w:hAnsi="Times New Roman" w:eastAsia="宋体" w:cs="Times New Roman"/>
                <w:color w:val="auto"/>
                <w:szCs w:val="21"/>
                <w:highlight w:val="none"/>
              </w:rPr>
            </w:pPr>
          </w:p>
        </w:tc>
        <w:tc>
          <w:tcPr>
            <w:tcW w:w="445" w:type="pct"/>
            <w:vMerge w:val="continue"/>
            <w:shd w:val="clear" w:color="auto" w:fill="auto"/>
            <w:vAlign w:val="center"/>
          </w:tcPr>
          <w:p>
            <w:pPr>
              <w:spacing w:after="200" w:line="276" w:lineRule="auto"/>
              <w:jc w:val="center"/>
              <w:rPr>
                <w:rFonts w:hint="default" w:ascii="Times New Roman" w:hAnsi="Times New Roman" w:eastAsia="宋体" w:cs="Times New Roman"/>
                <w:color w:val="auto"/>
                <w:szCs w:val="21"/>
                <w:highlight w:val="none"/>
              </w:rPr>
            </w:pPr>
          </w:p>
        </w:tc>
        <w:tc>
          <w:tcPr>
            <w:tcW w:w="723" w:type="pct"/>
            <w:vMerge w:val="continue"/>
            <w:vAlign w:val="center"/>
          </w:tcPr>
          <w:p>
            <w:pPr>
              <w:spacing w:after="200" w:line="276" w:lineRule="auto"/>
              <w:jc w:val="center"/>
              <w:rPr>
                <w:rFonts w:hint="default" w:ascii="Times New Roman" w:hAnsi="Times New Roman" w:eastAsia="宋体" w:cs="Times New Roman"/>
                <w:color w:val="auto"/>
                <w:szCs w:val="21"/>
                <w:highlight w:val="none"/>
              </w:rPr>
            </w:pPr>
          </w:p>
        </w:tc>
        <w:tc>
          <w:tcPr>
            <w:tcW w:w="3387" w:type="pct"/>
          </w:tcPr>
          <w:p>
            <w:pPr>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w:t>
            </w:r>
          </w:p>
          <w:p>
            <w:pPr>
              <w:spacing w:line="40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1、因落实政府采购政策进行价格调整的，以调整后的价格计算评标基准价和比选报价；</w:t>
            </w:r>
          </w:p>
          <w:p>
            <w:pPr>
              <w:spacing w:line="40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2、若货物服务为小微型企业（残疾人福利性单位、监狱企业）产品、服务，请在比选报价一览表备注栏中标明并同时提供证明材料，经评标委员会核实方可获得价格扣除；</w:t>
            </w:r>
          </w:p>
          <w:p>
            <w:pPr>
              <w:spacing w:line="40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对小型和微型企业产品、服务的价格给予10%的扣除(即：评标价=比选申请报价×[1-10%])，用扣除后的价格参与评审（如为联合体，联合协议中约定，小型、微型企业的协议合同金额占到联合体协议合同总金额30%以上的，可给予联合体4%的价格扣除）；</w:t>
            </w:r>
          </w:p>
          <w:p>
            <w:pPr>
              <w:spacing w:line="40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4、残疾人福利性单位（监狱企业）产品、服务视同小型、微型企业产品、服务，享受同等价格扣除；</w:t>
            </w:r>
          </w:p>
          <w:p>
            <w:pPr>
              <w:spacing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t>5、比选申请人仅能获得一种政策的价格扣除，不重复享受。</w:t>
            </w:r>
          </w:p>
        </w:tc>
      </w:tr>
    </w:tbl>
    <w:p>
      <w:pPr>
        <w:pStyle w:val="2"/>
        <w:ind w:firstLine="0" w:firstLineChars="0"/>
        <w:rPr>
          <w:rFonts w:hint="eastAsia" w:ascii="Times New Roman" w:hAnsi="Times New Roman"/>
          <w:color w:val="auto"/>
          <w:sz w:val="24"/>
          <w:szCs w:val="24"/>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color w:val="auto"/>
          <w:highlight w:val="none"/>
        </w:rPr>
      </w:pPr>
    </w:p>
    <w:tbl>
      <w:tblPr>
        <w:tblStyle w:val="25"/>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670"/>
        <w:gridCol w:w="1267"/>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pct"/>
            <w:gridSpan w:val="2"/>
            <w:vAlign w:val="center"/>
          </w:tcPr>
          <w:p>
            <w:pPr>
              <w:spacing w:after="200" w:line="360" w:lineRule="auto"/>
              <w:jc w:val="center"/>
              <w:rPr>
                <w:rFonts w:hint="default" w:ascii="Times New Roman" w:hAnsi="Times New Roman" w:cs="Times New Roman"/>
                <w:color w:val="auto"/>
                <w:sz w:val="24"/>
                <w:szCs w:val="20"/>
                <w:highlight w:val="none"/>
              </w:rPr>
            </w:pPr>
            <w:r>
              <w:rPr>
                <w:rFonts w:hint="default" w:ascii="Times New Roman" w:hAnsi="Times New Roman" w:cs="Times New Roman"/>
                <w:b/>
                <w:color w:val="auto"/>
                <w:sz w:val="24"/>
                <w:szCs w:val="20"/>
                <w:highlight w:val="none"/>
              </w:rPr>
              <w:t>条款号</w:t>
            </w:r>
          </w:p>
        </w:tc>
        <w:tc>
          <w:tcPr>
            <w:tcW w:w="766" w:type="pct"/>
            <w:vAlign w:val="center"/>
          </w:tcPr>
          <w:p>
            <w:pPr>
              <w:spacing w:after="200" w:line="360" w:lineRule="auto"/>
              <w:jc w:val="center"/>
              <w:rPr>
                <w:rFonts w:hint="default" w:ascii="Times New Roman" w:hAnsi="Times New Roman" w:cs="Times New Roman"/>
                <w:b/>
                <w:color w:val="auto"/>
                <w:sz w:val="24"/>
                <w:szCs w:val="20"/>
                <w:highlight w:val="none"/>
              </w:rPr>
            </w:pPr>
            <w:r>
              <w:rPr>
                <w:rFonts w:hint="default" w:ascii="Times New Roman" w:hAnsi="Times New Roman" w:cs="Times New Roman"/>
                <w:b/>
                <w:color w:val="auto"/>
                <w:sz w:val="24"/>
                <w:szCs w:val="20"/>
                <w:highlight w:val="none"/>
              </w:rPr>
              <w:t>评分因素</w:t>
            </w:r>
          </w:p>
        </w:tc>
        <w:tc>
          <w:tcPr>
            <w:tcW w:w="3381" w:type="pct"/>
            <w:vAlign w:val="center"/>
          </w:tcPr>
          <w:p>
            <w:pPr>
              <w:spacing w:after="200" w:line="360" w:lineRule="auto"/>
              <w:jc w:val="center"/>
              <w:rPr>
                <w:rFonts w:hint="default" w:ascii="Times New Roman" w:hAnsi="Times New Roman" w:cs="Times New Roman"/>
                <w:b/>
                <w:color w:val="auto"/>
                <w:sz w:val="24"/>
                <w:szCs w:val="20"/>
                <w:highlight w:val="none"/>
              </w:rPr>
            </w:pPr>
            <w:r>
              <w:rPr>
                <w:rFonts w:hint="default" w:ascii="Times New Roman" w:hAnsi="Times New Roman" w:cs="Times New Roman"/>
                <w:b/>
                <w:color w:val="auto"/>
                <w:sz w:val="24"/>
                <w:szCs w:val="20"/>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448" w:type="pct"/>
            <w:vMerge w:val="restart"/>
            <w:vAlign w:val="center"/>
          </w:tcPr>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rPr>
                <w:rFonts w:hint="default" w:ascii="Times New Roman" w:hAnsi="Times New Roman" w:cs="Times New Roman"/>
                <w:color w:val="auto"/>
                <w:sz w:val="24"/>
                <w:szCs w:val="20"/>
                <w:highlight w:val="none"/>
              </w:rPr>
            </w:pPr>
            <w:r>
              <w:rPr>
                <w:rFonts w:hint="default" w:ascii="Times New Roman" w:hAnsi="Times New Roman" w:eastAsia="宋体" w:cs="Times New Roman"/>
                <w:color w:val="auto"/>
                <w:szCs w:val="21"/>
                <w:highlight w:val="none"/>
              </w:rPr>
              <w:t>2.1.2（2）</w:t>
            </w:r>
          </w:p>
        </w:tc>
        <w:tc>
          <w:tcPr>
            <w:tcW w:w="405" w:type="pct"/>
            <w:vMerge w:val="restart"/>
            <w:vAlign w:val="center"/>
          </w:tcPr>
          <w:p>
            <w:pPr>
              <w:adjustRightInd w:val="0"/>
              <w:snapToGrid w:val="0"/>
              <w:spacing w:after="200" w:line="360" w:lineRule="auto"/>
              <w:jc w:val="center"/>
              <w:rPr>
                <w:rFonts w:hint="default" w:ascii="Times New Roman" w:hAnsi="Times New Roman" w:cs="Times New Roman"/>
                <w:color w:val="auto"/>
                <w:sz w:val="24"/>
                <w:szCs w:val="20"/>
                <w:highlight w:val="none"/>
              </w:rPr>
            </w:pPr>
          </w:p>
          <w:p>
            <w:pPr>
              <w:adjustRightInd w:val="0"/>
              <w:snapToGrid w:val="0"/>
              <w:spacing w:after="200" w:line="360" w:lineRule="auto"/>
              <w:jc w:val="center"/>
              <w:rPr>
                <w:rFonts w:hint="default" w:ascii="Times New Roman" w:hAnsi="Times New Roman" w:cs="Times New Roman"/>
                <w:color w:val="auto"/>
                <w:sz w:val="24"/>
                <w:szCs w:val="20"/>
                <w:highlight w:val="none"/>
              </w:rPr>
            </w:pPr>
          </w:p>
          <w:p>
            <w:pPr>
              <w:adjustRightInd w:val="0"/>
              <w:snapToGrid w:val="0"/>
              <w:spacing w:after="200" w:line="360" w:lineRule="auto"/>
              <w:jc w:val="center"/>
              <w:rPr>
                <w:rFonts w:hint="default" w:ascii="Times New Roman" w:hAnsi="Times New Roman" w:cs="Times New Roman"/>
                <w:color w:val="auto"/>
                <w:sz w:val="24"/>
                <w:szCs w:val="20"/>
                <w:highlight w:val="none"/>
              </w:rPr>
            </w:pPr>
          </w:p>
          <w:p>
            <w:pPr>
              <w:adjustRightInd w:val="0"/>
              <w:snapToGrid w:val="0"/>
              <w:spacing w:after="200" w:line="360" w:lineRule="auto"/>
              <w:jc w:val="center"/>
              <w:rPr>
                <w:rFonts w:hint="default" w:ascii="Times New Roman" w:hAnsi="Times New Roman" w:cs="Times New Roman"/>
                <w:color w:val="auto"/>
                <w:sz w:val="24"/>
                <w:szCs w:val="20"/>
                <w:highlight w:val="none"/>
              </w:rPr>
            </w:pPr>
          </w:p>
          <w:p>
            <w:pPr>
              <w:adjustRightInd w:val="0"/>
              <w:snapToGrid w:val="0"/>
              <w:spacing w:after="200" w:line="360" w:lineRule="auto"/>
              <w:jc w:val="center"/>
              <w:rPr>
                <w:rFonts w:hint="default" w:ascii="Times New Roman" w:hAnsi="Times New Roman" w:cs="Times New Roman"/>
                <w:color w:val="auto"/>
                <w:sz w:val="24"/>
                <w:szCs w:val="20"/>
                <w:highlight w:val="none"/>
              </w:rPr>
            </w:pPr>
          </w:p>
          <w:p>
            <w:pPr>
              <w:adjustRightInd w:val="0"/>
              <w:snapToGrid w:val="0"/>
              <w:spacing w:after="200" w:line="360" w:lineRule="auto"/>
              <w:jc w:val="center"/>
              <w:rPr>
                <w:rFonts w:hint="default" w:ascii="Times New Roman" w:hAnsi="Times New Roman" w:cs="Times New Roman"/>
                <w:color w:val="auto"/>
                <w:sz w:val="24"/>
                <w:szCs w:val="20"/>
                <w:highlight w:val="none"/>
              </w:rPr>
            </w:pPr>
          </w:p>
          <w:p>
            <w:pPr>
              <w:adjustRightInd w:val="0"/>
              <w:snapToGrid w:val="0"/>
              <w:spacing w:after="200" w:line="360" w:lineRule="auto"/>
              <w:jc w:val="center"/>
              <w:rPr>
                <w:rFonts w:hint="default" w:ascii="Times New Roman" w:hAnsi="Times New Roman" w:cs="Times New Roman"/>
                <w:color w:val="auto"/>
                <w:sz w:val="24"/>
                <w:szCs w:val="20"/>
                <w:highlight w:val="none"/>
              </w:rPr>
            </w:pPr>
          </w:p>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技术部分</w:t>
            </w:r>
          </w:p>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F2</w:t>
            </w:r>
          </w:p>
          <w:p>
            <w:pPr>
              <w:spacing w:after="200" w:line="276" w:lineRule="auto"/>
              <w:jc w:val="center"/>
              <w:rPr>
                <w:rFonts w:hint="default" w:ascii="Times New Roman" w:hAnsi="Times New Roman" w:cs="Times New Roman"/>
                <w:color w:val="auto"/>
                <w:sz w:val="24"/>
                <w:szCs w:val="20"/>
                <w:highlight w:val="none"/>
              </w:rPr>
            </w:pPr>
            <w:r>
              <w:rPr>
                <w:rFonts w:hint="default" w:ascii="Times New Roman" w:hAnsi="Times New Roman" w:eastAsia="宋体" w:cs="Times New Roman"/>
                <w:color w:val="auto"/>
                <w:szCs w:val="21"/>
                <w:highlight w:val="none"/>
              </w:rPr>
              <w:t>45</w:t>
            </w:r>
            <w:r>
              <w:rPr>
                <w:rFonts w:hint="default" w:ascii="Times New Roman" w:hAnsi="Times New Roman" w:eastAsia="宋体" w:cs="Times New Roman"/>
                <w:color w:val="auto"/>
                <w:szCs w:val="21"/>
                <w:highlight w:val="none"/>
              </w:rPr>
              <w:t>分</w:t>
            </w:r>
          </w:p>
        </w:tc>
        <w:tc>
          <w:tcPr>
            <w:tcW w:w="766" w:type="pct"/>
            <w:vAlign w:val="center"/>
          </w:tcPr>
          <w:p>
            <w:pPr>
              <w:spacing w:after="200"/>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产品参数响应（8分）</w:t>
            </w:r>
          </w:p>
          <w:p>
            <w:pPr>
              <w:spacing w:after="200" w:line="276" w:lineRule="auto"/>
              <w:rPr>
                <w:rFonts w:hint="default" w:ascii="Times New Roman" w:hAnsi="Times New Roman" w:cs="Times New Roman"/>
                <w:color w:val="auto"/>
                <w:sz w:val="24"/>
                <w:szCs w:val="20"/>
                <w:highlight w:val="none"/>
              </w:rPr>
            </w:pPr>
          </w:p>
        </w:tc>
        <w:tc>
          <w:tcPr>
            <w:tcW w:w="3381" w:type="pct"/>
            <w:vAlign w:val="center"/>
          </w:tcPr>
          <w:p>
            <w:pPr>
              <w:spacing w:after="200"/>
              <w:jc w:val="left"/>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b/>
                <w:color w:val="auto"/>
                <w:szCs w:val="20"/>
                <w:highlight w:val="none"/>
              </w:rPr>
              <w:t>评标委员会根据比选申请人所提供的货物简要说明：比选申请人必须提供各食材的产地地点，以及每一个品种的实物样品清晰彩色图片，质量保证条款。评委根据比选申请食材的实物样品彩色图片、技术参数、技术指标、技术性能、第三方检测报告等方面进行横向对比后打分。</w:t>
            </w:r>
            <w:r>
              <w:rPr>
                <w:rFonts w:hint="default" w:ascii="Times New Roman" w:hAnsi="Times New Roman" w:eastAsia="宋体" w:cs="Times New Roman"/>
                <w:bCs/>
                <w:color w:val="auto"/>
                <w:szCs w:val="20"/>
                <w:highlight w:val="none"/>
              </w:rPr>
              <w:t>分为三个档次：优得7-8分，良得4-6分，一般1-3分。提供的实物样品彩色图片将作为配送货时校方收验货的参照依据和标准。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448"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405" w:type="pct"/>
            <w:vMerge w:val="continue"/>
            <w:vAlign w:val="center"/>
          </w:tcPr>
          <w:p>
            <w:pPr>
              <w:adjustRightInd w:val="0"/>
              <w:snapToGrid w:val="0"/>
              <w:spacing w:after="200" w:line="360" w:lineRule="auto"/>
              <w:jc w:val="center"/>
              <w:rPr>
                <w:rFonts w:hint="default" w:ascii="Times New Roman" w:hAnsi="Times New Roman" w:cs="Times New Roman"/>
                <w:color w:val="auto"/>
                <w:sz w:val="24"/>
                <w:szCs w:val="20"/>
                <w:highlight w:val="none"/>
              </w:rPr>
            </w:pPr>
          </w:p>
        </w:tc>
        <w:tc>
          <w:tcPr>
            <w:tcW w:w="766" w:type="pct"/>
            <w:vAlign w:val="center"/>
          </w:tcPr>
          <w:p>
            <w:pPr>
              <w:spacing w:after="200" w:line="360" w:lineRule="auto"/>
              <w:jc w:val="left"/>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bCs/>
                <w:color w:val="auto"/>
                <w:szCs w:val="20"/>
                <w:highlight w:val="none"/>
              </w:rPr>
              <w:t>配送方案（20分）</w:t>
            </w:r>
          </w:p>
        </w:tc>
        <w:tc>
          <w:tcPr>
            <w:tcW w:w="3381" w:type="pct"/>
            <w:vAlign w:val="center"/>
          </w:tcPr>
          <w:p>
            <w:pPr>
              <w:jc w:val="left"/>
              <w:rPr>
                <w:rFonts w:hint="default" w:ascii="Times New Roman" w:hAnsi="Times New Roman" w:eastAsia="宋体" w:cs="Times New Roman"/>
                <w:b/>
                <w:color w:val="auto"/>
                <w:szCs w:val="20"/>
                <w:highlight w:val="none"/>
              </w:rPr>
            </w:pPr>
            <w:bookmarkStart w:id="241" w:name="OLE_LINK6"/>
            <w:r>
              <w:rPr>
                <w:rFonts w:hint="default" w:ascii="Times New Roman" w:hAnsi="Times New Roman" w:eastAsia="宋体" w:cs="Times New Roman"/>
                <w:b/>
                <w:color w:val="auto"/>
                <w:szCs w:val="20"/>
                <w:highlight w:val="none"/>
              </w:rPr>
              <w:t>配送方案（包括配送路线及保鲜保障措施、运送车辆及人员，提供项目负责人（劳动合同及社保资料）、车辆图片、行车证、车辆使用（拥有）证明及运送人员（提供健康证等资料）情况）、企业情况等进行评分。</w:t>
            </w:r>
          </w:p>
          <w:p>
            <w:pPr>
              <w:jc w:val="left"/>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（1）根据比选申请人所提供的配送方案，对比选申请人的固定仓储场所和运输车辆、运送人员、存储等情况符合国家《食品安全法》的相关规定的内容进行横向对比，针对性强、科学、合理、完善的得16-20分；</w:t>
            </w:r>
          </w:p>
          <w:p>
            <w:pPr>
              <w:jc w:val="left"/>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（2）根据比选申请人所提供的配送方案，对比选申请人的固定仓储场所和运输车辆、运送人员、存储等情况符合国家《食品安全法》的相关规定的内容进行横向对比，针对性一般、较合理的得11-15分；</w:t>
            </w:r>
          </w:p>
          <w:p>
            <w:pPr>
              <w:jc w:val="left"/>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（3）根据比选申请人所提供的配送方案，对比选申请人的固定仓储场所和运输车辆、运送人员、存储等情况符合国家《食品安全法》的相关规定的内容进行横向对比，无针对性、较一般的得1-10分；</w:t>
            </w:r>
          </w:p>
          <w:p>
            <w:pPr>
              <w:spacing w:line="300" w:lineRule="exact"/>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比选申请人未提供配送方案的，该项不得分。</w:t>
            </w:r>
          </w:p>
          <w:p>
            <w:pPr>
              <w:pStyle w:val="7"/>
              <w:spacing w:after="0" w:line="300" w:lineRule="exact"/>
              <w:ind w:left="0" w:firstLine="420" w:firstLineChars="200"/>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注：比选申请人必须承诺：1、如果项目中选，须在楚雄市范围内设置固定符合要求的仓储场所、分拣配送场所和运输车辆、配送人员等相关配套设施设备；其中，配送货运输车辆必须是密闭式、卫生有保障、符合交通运输的安全车辆，对于蔬菜、肉（禽）类等需要保鲜的食材食品，必须提供冷藏车或具备有冷藏保鲜设施的密闭车辆进行运输配送。</w:t>
            </w:r>
            <w:bookmarkEnd w:id="241"/>
            <w:r>
              <w:rPr>
                <w:rFonts w:hint="default" w:ascii="Times New Roman" w:hAnsi="Times New Roman" w:eastAsia="宋体" w:cs="Times New Roman"/>
                <w:b w:val="0"/>
                <w:bCs w:val="0"/>
                <w:color w:val="auto"/>
                <w:highlight w:val="none"/>
              </w:rPr>
              <w:t xml:space="preserve"> </w:t>
            </w:r>
          </w:p>
          <w:p>
            <w:pPr>
              <w:spacing w:line="300" w:lineRule="exact"/>
              <w:jc w:val="left"/>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Cs w:val="20"/>
                <w:highlight w:val="none"/>
              </w:rPr>
              <w:t>2、比选申请人无条件接受采购人将组织对比选申请人承诺的场地和配送设施设备进行实地检查，对于设施设备不符合标准要求的比选申请人，采购人有权利取消其中选资格。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448"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405" w:type="pct"/>
            <w:vMerge w:val="continue"/>
            <w:vAlign w:val="center"/>
          </w:tcPr>
          <w:p>
            <w:pPr>
              <w:adjustRightInd w:val="0"/>
              <w:snapToGrid w:val="0"/>
              <w:spacing w:after="200" w:line="360" w:lineRule="auto"/>
              <w:jc w:val="center"/>
              <w:rPr>
                <w:rFonts w:hint="default" w:ascii="Times New Roman" w:hAnsi="Times New Roman" w:cs="Times New Roman"/>
                <w:color w:val="auto"/>
                <w:sz w:val="24"/>
                <w:szCs w:val="20"/>
                <w:highlight w:val="none"/>
              </w:rPr>
            </w:pPr>
          </w:p>
        </w:tc>
        <w:tc>
          <w:tcPr>
            <w:tcW w:w="766" w:type="pct"/>
            <w:vAlign w:val="center"/>
          </w:tcPr>
          <w:p>
            <w:pPr>
              <w:spacing w:after="200" w:line="360" w:lineRule="auto"/>
              <w:jc w:val="left"/>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bCs/>
                <w:color w:val="auto"/>
                <w:szCs w:val="20"/>
                <w:highlight w:val="none"/>
                <w:lang w:bidi="en-US"/>
              </w:rPr>
              <w:t>产品质量、安全保证方案（10分）</w:t>
            </w:r>
          </w:p>
        </w:tc>
        <w:tc>
          <w:tcPr>
            <w:tcW w:w="3381" w:type="pct"/>
            <w:vAlign w:val="center"/>
          </w:tcPr>
          <w:p>
            <w:pPr>
              <w:rPr>
                <w:rFonts w:hint="default" w:ascii="Times New Roman" w:hAnsi="Times New Roman" w:eastAsia="宋体" w:cs="Times New Roman"/>
                <w:b/>
                <w:color w:val="auto"/>
                <w:szCs w:val="20"/>
                <w:highlight w:val="none"/>
              </w:rPr>
            </w:pPr>
            <w:r>
              <w:rPr>
                <w:rFonts w:hint="default" w:ascii="Times New Roman" w:hAnsi="Times New Roman" w:eastAsia="宋体" w:cs="Times New Roman"/>
                <w:b/>
                <w:color w:val="auto"/>
                <w:szCs w:val="20"/>
                <w:highlight w:val="none"/>
              </w:rPr>
              <w:t>评标委员会根据比选申请人提供完整的质量、食品安全方案(根据货物的来源、加工、包装、保存、运输各环节的质量、溯源体系、管理体系、安全方案及保证措施进行评价)分档评分。</w:t>
            </w:r>
          </w:p>
          <w:p>
            <w:pPr>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（1）提供的质量、安全保障方案内容完整详细、措施完善、能有效保证食品质量安全，质量安全责任管理机构科学、合理、可行，有具体违约责任承诺的得8-10分；</w:t>
            </w:r>
          </w:p>
          <w:p>
            <w:pPr>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（2）提供的质量、安全保障方案较为完整，措施基本完善、具有一定操作性，违约责任承诺一般的得4-7分；</w:t>
            </w:r>
          </w:p>
          <w:p>
            <w:pPr>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（3）提供的质量、安全保障方案内容遗漏、措施缺乏、操作性不强、无具体违约责任承诺的得1-3分；</w:t>
            </w:r>
          </w:p>
          <w:p>
            <w:pPr>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Cs w:val="20"/>
                <w:highlight w:val="none"/>
              </w:rPr>
              <w:t>未提供食品质量、安全保证方案的不得分。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448"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405"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766" w:type="pct"/>
            <w:vAlign w:val="center"/>
          </w:tcPr>
          <w:p>
            <w:pPr>
              <w:spacing w:after="200" w:line="360" w:lineRule="auto"/>
              <w:jc w:val="left"/>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bCs/>
                <w:color w:val="auto"/>
                <w:szCs w:val="20"/>
                <w:highlight w:val="none"/>
                <w:lang w:bidi="en-US"/>
              </w:rPr>
              <w:t>应急处置方案（5分）</w:t>
            </w:r>
          </w:p>
        </w:tc>
        <w:tc>
          <w:tcPr>
            <w:tcW w:w="3381" w:type="pct"/>
            <w:vAlign w:val="center"/>
          </w:tcPr>
          <w:p>
            <w:pPr>
              <w:rPr>
                <w:rFonts w:hint="default" w:ascii="Times New Roman" w:hAnsi="Times New Roman" w:eastAsia="宋体" w:cs="Times New Roman"/>
                <w:bCs/>
                <w:color w:val="auto"/>
                <w:szCs w:val="20"/>
                <w:highlight w:val="none"/>
                <w:lang w:bidi="en-US"/>
              </w:rPr>
            </w:pPr>
            <w:r>
              <w:rPr>
                <w:rFonts w:hint="default" w:ascii="Times New Roman" w:hAnsi="Times New Roman" w:eastAsia="宋体" w:cs="Times New Roman"/>
                <w:bCs/>
                <w:color w:val="auto"/>
                <w:szCs w:val="20"/>
                <w:highlight w:val="none"/>
                <w:lang w:bidi="en-US"/>
              </w:rPr>
              <w:t>方案至少包含物流配送应急预案、食品安全应急预案等，分档评分：</w:t>
            </w:r>
          </w:p>
          <w:p>
            <w:pPr>
              <w:rPr>
                <w:rFonts w:hint="default" w:ascii="Times New Roman" w:hAnsi="Times New Roman" w:eastAsia="宋体" w:cs="Times New Roman"/>
                <w:bCs/>
                <w:color w:val="auto"/>
                <w:szCs w:val="20"/>
                <w:highlight w:val="none"/>
                <w:lang w:bidi="en-US"/>
              </w:rPr>
            </w:pPr>
            <w:r>
              <w:rPr>
                <w:rFonts w:hint="default" w:ascii="Times New Roman" w:hAnsi="Times New Roman" w:eastAsia="宋体" w:cs="Times New Roman"/>
                <w:bCs/>
                <w:color w:val="auto"/>
                <w:szCs w:val="20"/>
                <w:highlight w:val="none"/>
                <w:lang w:bidi="en-US"/>
              </w:rPr>
              <w:t>（1）应急方案内容完整详细、合理，针对性强，可行性强，完全满足采购人实际需求的得4-5分；</w:t>
            </w:r>
          </w:p>
          <w:p>
            <w:pPr>
              <w:rPr>
                <w:rFonts w:hint="default" w:ascii="Times New Roman" w:hAnsi="Times New Roman" w:eastAsia="宋体" w:cs="Times New Roman"/>
                <w:bCs/>
                <w:color w:val="auto"/>
                <w:szCs w:val="20"/>
                <w:highlight w:val="none"/>
                <w:lang w:bidi="en-US"/>
              </w:rPr>
            </w:pPr>
            <w:r>
              <w:rPr>
                <w:rFonts w:hint="default" w:ascii="Times New Roman" w:hAnsi="Times New Roman" w:eastAsia="宋体" w:cs="Times New Roman"/>
                <w:bCs/>
                <w:color w:val="auto"/>
                <w:szCs w:val="20"/>
                <w:highlight w:val="none"/>
                <w:lang w:bidi="en-US"/>
              </w:rPr>
              <w:t>（2）应急方案内容基本完整，可行、有一定针对性满足采购人实际需求的得2-3分；</w:t>
            </w:r>
          </w:p>
          <w:p>
            <w:pPr>
              <w:rPr>
                <w:rFonts w:hint="default" w:ascii="Times New Roman" w:hAnsi="Times New Roman" w:eastAsia="宋体" w:cs="Times New Roman"/>
                <w:bCs/>
                <w:color w:val="auto"/>
                <w:szCs w:val="20"/>
                <w:highlight w:val="none"/>
                <w:lang w:bidi="en-US"/>
              </w:rPr>
            </w:pPr>
            <w:r>
              <w:rPr>
                <w:rFonts w:hint="default" w:ascii="Times New Roman" w:hAnsi="Times New Roman" w:eastAsia="宋体" w:cs="Times New Roman"/>
                <w:bCs/>
                <w:color w:val="auto"/>
                <w:szCs w:val="20"/>
                <w:highlight w:val="none"/>
                <w:lang w:bidi="en-US"/>
              </w:rPr>
              <w:t>（3）应急方案内容缺漏，针对性一般，基本满足采购人实际需求的得1分；</w:t>
            </w:r>
          </w:p>
          <w:p>
            <w:pPr>
              <w:jc w:val="left"/>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bCs/>
                <w:color w:val="auto"/>
                <w:szCs w:val="20"/>
                <w:highlight w:val="none"/>
                <w:lang w:bidi="en-US"/>
              </w:rPr>
              <w:t>未提供应急处置方案的不得分。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448"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405"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766" w:type="pct"/>
            <w:vAlign w:val="center"/>
          </w:tcPr>
          <w:p>
            <w:pPr>
              <w:spacing w:after="200"/>
              <w:jc w:val="center"/>
              <w:rPr>
                <w:rFonts w:hint="default" w:ascii="Times New Roman" w:hAnsi="Times New Roman" w:eastAsia="宋体" w:cs="Times New Roman"/>
                <w:bCs/>
                <w:color w:val="auto"/>
                <w:szCs w:val="20"/>
                <w:highlight w:val="none"/>
                <w:lang w:bidi="en-US"/>
              </w:rPr>
            </w:pPr>
            <w:r>
              <w:rPr>
                <w:rFonts w:hint="default" w:ascii="Times New Roman" w:hAnsi="Times New Roman" w:eastAsia="宋体" w:cs="Times New Roman"/>
                <w:bCs/>
                <w:color w:val="auto"/>
                <w:szCs w:val="20"/>
                <w:highlight w:val="none"/>
                <w:lang w:bidi="en-US"/>
              </w:rPr>
              <w:t>疫情防控方案（2分）</w:t>
            </w:r>
          </w:p>
          <w:p>
            <w:pPr>
              <w:spacing w:after="200" w:line="360" w:lineRule="auto"/>
              <w:jc w:val="left"/>
              <w:rPr>
                <w:rFonts w:hint="default" w:ascii="Times New Roman" w:hAnsi="Times New Roman" w:eastAsia="宋体" w:cs="Times New Roman"/>
                <w:color w:val="auto"/>
                <w:sz w:val="24"/>
                <w:highlight w:val="none"/>
                <w:lang w:val="zh-CN"/>
              </w:rPr>
            </w:pPr>
          </w:p>
        </w:tc>
        <w:tc>
          <w:tcPr>
            <w:tcW w:w="3381" w:type="pct"/>
            <w:vAlign w:val="center"/>
          </w:tcPr>
          <w:p>
            <w:pPr>
              <w:rPr>
                <w:rFonts w:hint="default" w:ascii="Times New Roman" w:hAnsi="Times New Roman" w:eastAsia="宋体" w:cs="Times New Roman"/>
                <w:bCs/>
                <w:color w:val="auto"/>
                <w:szCs w:val="20"/>
                <w:highlight w:val="none"/>
                <w:lang w:bidi="en-US"/>
              </w:rPr>
            </w:pPr>
            <w:r>
              <w:rPr>
                <w:rFonts w:hint="default" w:ascii="Times New Roman" w:hAnsi="Times New Roman" w:eastAsia="宋体" w:cs="Times New Roman"/>
                <w:bCs/>
                <w:color w:val="auto"/>
                <w:szCs w:val="20"/>
                <w:highlight w:val="none"/>
                <w:lang w:bidi="en-US"/>
              </w:rPr>
              <w:t>（1）疫情防控方案内容详细，组织保障科学合理，制度完善，防控物资储备齐全，应急预案针对性强的得2分；</w:t>
            </w:r>
          </w:p>
          <w:p>
            <w:pPr>
              <w:rPr>
                <w:rFonts w:hint="default" w:ascii="Times New Roman" w:hAnsi="Times New Roman" w:eastAsia="宋体" w:cs="Times New Roman"/>
                <w:bCs/>
                <w:color w:val="auto"/>
                <w:szCs w:val="20"/>
                <w:highlight w:val="none"/>
                <w:lang w:bidi="en-US"/>
              </w:rPr>
            </w:pPr>
            <w:r>
              <w:rPr>
                <w:rFonts w:hint="default" w:ascii="Times New Roman" w:hAnsi="Times New Roman" w:eastAsia="宋体" w:cs="Times New Roman"/>
                <w:bCs/>
                <w:color w:val="auto"/>
                <w:szCs w:val="20"/>
                <w:highlight w:val="none"/>
                <w:lang w:bidi="en-US"/>
              </w:rPr>
              <w:t>（2）疫情防控方案内容基本完整，缺乏针一般的得1分；</w:t>
            </w:r>
          </w:p>
          <w:p>
            <w:pPr>
              <w:rPr>
                <w:rFonts w:hint="default" w:ascii="Times New Roman" w:hAnsi="Times New Roman" w:eastAsia="宋体" w:cs="Times New Roman"/>
                <w:bCs/>
                <w:color w:val="auto"/>
                <w:szCs w:val="20"/>
                <w:highlight w:val="none"/>
                <w:lang w:bidi="en-US"/>
              </w:rPr>
            </w:pPr>
            <w:r>
              <w:rPr>
                <w:rFonts w:hint="default" w:ascii="Times New Roman" w:hAnsi="Times New Roman" w:eastAsia="宋体" w:cs="Times New Roman"/>
                <w:bCs/>
                <w:color w:val="auto"/>
                <w:szCs w:val="20"/>
                <w:highlight w:val="none"/>
                <w:lang w:bidi="en-US"/>
              </w:rPr>
              <w:t>（3）疫情防控方案内容缺漏，缺乏针对性的，或未提供疫情防控方案的不得分</w:t>
            </w:r>
          </w:p>
          <w:p>
            <w:pPr>
              <w:jc w:val="left"/>
              <w:rPr>
                <w:rFonts w:hint="default" w:ascii="Times New Roman" w:hAnsi="Times New Roman" w:eastAsia="宋体" w:cs="Times New Roman"/>
                <w:color w:val="auto"/>
                <w:sz w:val="24"/>
                <w:highlight w:val="none"/>
              </w:rPr>
            </w:pPr>
          </w:p>
        </w:tc>
      </w:tr>
    </w:tbl>
    <w:p>
      <w:pPr>
        <w:pStyle w:val="2"/>
        <w:ind w:firstLine="0" w:firstLineChars="0"/>
        <w:rPr>
          <w:rFonts w:hint="eastAsia" w:ascii="Times New Roman" w:hAnsi="Times New Roman"/>
          <w:color w:val="auto"/>
          <w:sz w:val="24"/>
          <w:szCs w:val="24"/>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rFonts w:hint="eastAsia"/>
          <w:color w:val="auto"/>
          <w:highlight w:val="none"/>
        </w:rPr>
      </w:pPr>
    </w:p>
    <w:p>
      <w:pPr>
        <w:rPr>
          <w:rFonts w:hint="eastAsia"/>
          <w:color w:val="auto"/>
          <w:highlight w:val="none"/>
        </w:rPr>
      </w:pPr>
    </w:p>
    <w:p>
      <w:pPr>
        <w:pStyle w:val="2"/>
        <w:ind w:firstLine="400"/>
        <w:rPr>
          <w:color w:val="auto"/>
          <w:highlight w:val="none"/>
        </w:rPr>
      </w:pPr>
    </w:p>
    <w:tbl>
      <w:tblPr>
        <w:tblStyle w:val="26"/>
        <w:tblW w:w="5133" w:type="pct"/>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02"/>
        <w:gridCol w:w="1066"/>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5" w:type="pct"/>
            <w:gridSpan w:val="2"/>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条款号</w:t>
            </w:r>
          </w:p>
        </w:tc>
        <w:tc>
          <w:tcPr>
            <w:tcW w:w="609" w:type="pct"/>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评分因素</w:t>
            </w:r>
          </w:p>
        </w:tc>
        <w:tc>
          <w:tcPr>
            <w:tcW w:w="3565" w:type="pct"/>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24" w:type="pct"/>
            <w:vMerge w:val="restart"/>
            <w:vAlign w:val="center"/>
          </w:tcPr>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cs="Times New Roman"/>
                <w:color w:val="auto"/>
                <w:sz w:val="24"/>
                <w:szCs w:val="20"/>
                <w:highlight w:val="none"/>
              </w:rPr>
            </w:pPr>
            <w:r>
              <w:rPr>
                <w:rFonts w:hint="default" w:ascii="Times New Roman" w:hAnsi="Times New Roman" w:eastAsia="宋体" w:cs="Times New Roman"/>
                <w:color w:val="auto"/>
                <w:szCs w:val="21"/>
                <w:highlight w:val="none"/>
              </w:rPr>
              <w:t>2.1.2（3）</w:t>
            </w:r>
          </w:p>
        </w:tc>
        <w:tc>
          <w:tcPr>
            <w:tcW w:w="401" w:type="pct"/>
            <w:vMerge w:val="restart"/>
            <w:vAlign w:val="center"/>
          </w:tcPr>
          <w:p>
            <w:pPr>
              <w:adjustRightInd w:val="0"/>
              <w:snapToGrid w:val="0"/>
              <w:spacing w:after="200" w:line="360" w:lineRule="auto"/>
              <w:jc w:val="center"/>
              <w:rPr>
                <w:rFonts w:hint="default" w:ascii="Times New Roman" w:hAnsi="Times New Roman" w:cs="Times New Roman"/>
                <w:color w:val="auto"/>
                <w:sz w:val="24"/>
                <w:szCs w:val="20"/>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商务部分</w:t>
            </w:r>
          </w:p>
          <w:p>
            <w:pPr>
              <w:spacing w:after="200"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F3</w:t>
            </w:r>
          </w:p>
          <w:p>
            <w:pPr>
              <w:spacing w:after="200" w:line="360" w:lineRule="auto"/>
              <w:jc w:val="center"/>
              <w:rPr>
                <w:rFonts w:hint="default" w:ascii="Times New Roman" w:hAnsi="Times New Roman" w:cs="Times New Roman"/>
                <w:color w:val="auto"/>
                <w:sz w:val="24"/>
                <w:szCs w:val="20"/>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分</w:t>
            </w:r>
          </w:p>
        </w:tc>
        <w:tc>
          <w:tcPr>
            <w:tcW w:w="609" w:type="pct"/>
            <w:vAlign w:val="center"/>
          </w:tcPr>
          <w:p>
            <w:pPr>
              <w:spacing w:after="200"/>
              <w:jc w:val="center"/>
              <w:rPr>
                <w:rFonts w:hint="default" w:ascii="Times New Roman" w:hAnsi="Times New Roman" w:eastAsia="宋体" w:cs="Times New Roman"/>
                <w:color w:val="auto"/>
                <w:szCs w:val="20"/>
                <w:highlight w:val="none"/>
                <w:lang w:bidi="en-US"/>
              </w:rPr>
            </w:pPr>
            <w:r>
              <w:rPr>
                <w:rFonts w:hint="default" w:ascii="Times New Roman" w:hAnsi="Times New Roman" w:eastAsia="宋体" w:cs="Times New Roman"/>
                <w:color w:val="auto"/>
                <w:szCs w:val="20"/>
                <w:highlight w:val="none"/>
                <w:lang w:bidi="en-US"/>
              </w:rPr>
              <w:t>专业检测能力（5分）</w:t>
            </w:r>
          </w:p>
          <w:p>
            <w:pPr>
              <w:spacing w:after="200"/>
              <w:jc w:val="center"/>
              <w:rPr>
                <w:rFonts w:hint="default" w:ascii="Times New Roman" w:hAnsi="Times New Roman" w:eastAsia="宋体" w:cs="Times New Roman"/>
                <w:color w:val="auto"/>
                <w:sz w:val="24"/>
                <w:szCs w:val="20"/>
                <w:highlight w:val="none"/>
              </w:rPr>
            </w:pPr>
          </w:p>
        </w:tc>
        <w:tc>
          <w:tcPr>
            <w:tcW w:w="3565" w:type="pct"/>
            <w:vAlign w:val="center"/>
          </w:tcPr>
          <w:p>
            <w:pPr>
              <w:rPr>
                <w:rFonts w:hint="default" w:ascii="Times New Roman" w:hAnsi="Times New Roman" w:eastAsia="宋体" w:cs="Times New Roman"/>
                <w:color w:val="auto"/>
                <w:szCs w:val="20"/>
                <w:highlight w:val="none"/>
                <w:lang w:bidi="en-US"/>
              </w:rPr>
            </w:pPr>
            <w:bookmarkStart w:id="242" w:name="OLE_LINK8"/>
            <w:r>
              <w:rPr>
                <w:rFonts w:hint="default" w:ascii="Times New Roman" w:hAnsi="Times New Roman" w:eastAsia="宋体" w:cs="Times New Roman"/>
                <w:color w:val="auto"/>
                <w:szCs w:val="20"/>
                <w:highlight w:val="none"/>
                <w:lang w:bidi="en-US"/>
              </w:rPr>
              <w:t>（1）检测项目至少包括农残、重金属及抗生素检测，且自有检测仪器5台或以上，得5分；</w:t>
            </w:r>
          </w:p>
          <w:p>
            <w:pPr>
              <w:rPr>
                <w:rFonts w:hint="default" w:ascii="Times New Roman" w:hAnsi="Times New Roman" w:eastAsia="宋体" w:cs="Times New Roman"/>
                <w:color w:val="auto"/>
                <w:szCs w:val="20"/>
                <w:highlight w:val="none"/>
                <w:lang w:bidi="en-US"/>
              </w:rPr>
            </w:pPr>
            <w:r>
              <w:rPr>
                <w:rFonts w:hint="default" w:ascii="Times New Roman" w:hAnsi="Times New Roman" w:eastAsia="宋体" w:cs="Times New Roman"/>
                <w:color w:val="auto"/>
                <w:szCs w:val="20"/>
                <w:highlight w:val="none"/>
                <w:lang w:bidi="en-US"/>
              </w:rPr>
              <w:t>（2）检测项目至少包括农残、重金属及抗生素检测，且自有检测仪器3-4台，得3分；</w:t>
            </w:r>
          </w:p>
          <w:p>
            <w:pPr>
              <w:rPr>
                <w:rFonts w:hint="default" w:ascii="Times New Roman" w:hAnsi="Times New Roman" w:eastAsia="宋体" w:cs="Times New Roman"/>
                <w:color w:val="auto"/>
                <w:szCs w:val="20"/>
                <w:highlight w:val="none"/>
                <w:lang w:bidi="en-US"/>
              </w:rPr>
            </w:pPr>
            <w:r>
              <w:rPr>
                <w:rFonts w:hint="default" w:ascii="Times New Roman" w:hAnsi="Times New Roman" w:eastAsia="宋体" w:cs="Times New Roman"/>
                <w:color w:val="auto"/>
                <w:szCs w:val="20"/>
                <w:highlight w:val="none"/>
                <w:lang w:bidi="en-US"/>
              </w:rPr>
              <w:t>（3）自有检测仪器1-2台，得1分；</w:t>
            </w:r>
          </w:p>
          <w:p>
            <w:pPr>
              <w:rPr>
                <w:rFonts w:hint="default" w:ascii="Times New Roman" w:hAnsi="Times New Roman" w:eastAsia="宋体" w:cs="Times New Roman"/>
                <w:color w:val="auto"/>
                <w:szCs w:val="20"/>
                <w:highlight w:val="none"/>
                <w:lang w:bidi="en-US"/>
              </w:rPr>
            </w:pPr>
            <w:r>
              <w:rPr>
                <w:rFonts w:hint="default" w:ascii="Times New Roman" w:hAnsi="Times New Roman" w:eastAsia="宋体" w:cs="Times New Roman"/>
                <w:color w:val="auto"/>
                <w:szCs w:val="20"/>
                <w:highlight w:val="none"/>
                <w:lang w:bidi="en-US"/>
              </w:rPr>
              <w:t>（4）没有检测仪器的不得分。</w:t>
            </w:r>
          </w:p>
          <w:p>
            <w:pPr>
              <w:rPr>
                <w:rFonts w:hint="default" w:ascii="Times New Roman" w:hAnsi="Times New Roman" w:cs="Times New Roman"/>
                <w:bCs/>
                <w:color w:val="auto"/>
                <w:sz w:val="24"/>
                <w:szCs w:val="20"/>
                <w:highlight w:val="none"/>
              </w:rPr>
            </w:pPr>
            <w:r>
              <w:rPr>
                <w:rFonts w:hint="default" w:ascii="Times New Roman" w:hAnsi="Times New Roman" w:eastAsia="宋体" w:cs="Times New Roman"/>
                <w:color w:val="auto"/>
                <w:szCs w:val="20"/>
                <w:highlight w:val="none"/>
                <w:lang w:bidi="en-US"/>
              </w:rPr>
              <w:t>（提供检测仪器发票彩色扫描件及对应的检测仪仪器图片，未提供或及提供的证明材料不清晰导致无法识别的的不得分）</w:t>
            </w:r>
            <w:bookmarkEnd w:id="2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424"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401"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609" w:type="pct"/>
            <w:vAlign w:val="center"/>
          </w:tcPr>
          <w:p>
            <w:pPr>
              <w:spacing w:after="20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Cs w:val="20"/>
                <w:highlight w:val="none"/>
                <w:lang w:bidi="en-US"/>
              </w:rPr>
              <w:t>产品来源证明（10分）</w:t>
            </w:r>
          </w:p>
        </w:tc>
        <w:tc>
          <w:tcPr>
            <w:tcW w:w="3565" w:type="pct"/>
            <w:vAlign w:val="center"/>
          </w:tcPr>
          <w:p>
            <w:pPr>
              <w:rPr>
                <w:rFonts w:hint="default" w:ascii="Times New Roman" w:hAnsi="Times New Roman" w:eastAsia="宋体" w:cs="Times New Roman"/>
                <w:color w:val="auto"/>
                <w:szCs w:val="20"/>
                <w:highlight w:val="none"/>
                <w:lang w:bidi="en-US"/>
              </w:rPr>
            </w:pPr>
            <w:r>
              <w:rPr>
                <w:rFonts w:hint="default" w:ascii="Times New Roman" w:hAnsi="Times New Roman" w:eastAsia="宋体" w:cs="Times New Roman"/>
                <w:color w:val="auto"/>
                <w:szCs w:val="20"/>
                <w:highlight w:val="none"/>
                <w:lang w:bidi="en-US"/>
              </w:rPr>
              <w:t>（1）比选申请人产品来源证明齐全，供货各类能完全满足或超出采购人实际需求的得7-10分；</w:t>
            </w:r>
          </w:p>
          <w:p>
            <w:pPr>
              <w:rPr>
                <w:rFonts w:hint="default" w:ascii="Times New Roman" w:hAnsi="Times New Roman" w:eastAsia="宋体" w:cs="Times New Roman"/>
                <w:color w:val="auto"/>
                <w:szCs w:val="20"/>
                <w:highlight w:val="none"/>
                <w:lang w:bidi="en-US"/>
              </w:rPr>
            </w:pPr>
            <w:r>
              <w:rPr>
                <w:rFonts w:hint="default" w:ascii="Times New Roman" w:hAnsi="Times New Roman" w:eastAsia="宋体" w:cs="Times New Roman"/>
                <w:color w:val="auto"/>
                <w:szCs w:val="20"/>
                <w:highlight w:val="none"/>
                <w:lang w:bidi="en-US"/>
              </w:rPr>
              <w:t>（2）比选申请人产品来源证明基本齐全，基本满足采购人实际需求的得3-6分；</w:t>
            </w:r>
          </w:p>
          <w:p>
            <w:pPr>
              <w:rPr>
                <w:rFonts w:hint="default" w:ascii="Times New Roman" w:hAnsi="Times New Roman" w:eastAsia="宋体" w:cs="Times New Roman"/>
                <w:color w:val="auto"/>
                <w:szCs w:val="20"/>
                <w:highlight w:val="none"/>
                <w:lang w:bidi="en-US"/>
              </w:rPr>
            </w:pPr>
            <w:r>
              <w:rPr>
                <w:rFonts w:hint="default" w:ascii="Times New Roman" w:hAnsi="Times New Roman" w:eastAsia="宋体" w:cs="Times New Roman"/>
                <w:color w:val="auto"/>
                <w:szCs w:val="20"/>
                <w:highlight w:val="none"/>
                <w:lang w:bidi="en-US"/>
              </w:rPr>
              <w:t>（3）比选申请人产品来源证明不齐全，难以满足采购人实际需求的得1-2分；</w:t>
            </w:r>
          </w:p>
          <w:p>
            <w:pPr>
              <w:jc w:val="left"/>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（4）无产品来源证明的不得分。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424"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401"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609" w:type="pct"/>
            <w:vAlign w:val="center"/>
          </w:tcPr>
          <w:p>
            <w:pPr>
              <w:spacing w:after="20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Cs w:val="20"/>
                <w:highlight w:val="none"/>
              </w:rPr>
              <w:t>供货及服务承诺（7分）</w:t>
            </w:r>
          </w:p>
        </w:tc>
        <w:tc>
          <w:tcPr>
            <w:tcW w:w="3565" w:type="pct"/>
            <w:vAlign w:val="center"/>
          </w:tcPr>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评标委员会根据比选申请人所提供的供货承诺及服务场所、服务承诺及服务时间进行综合评定。</w:t>
            </w:r>
          </w:p>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（1）供货承诺及服务场所、服务承诺及服务响应时间切实可行，有具体的供货承诺及违约处罚条款，完全满足比选文件及采购人需求的得6-7分；</w:t>
            </w:r>
          </w:p>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（2）供货承诺及服务场所、服务承诺及服务响应时间基本可行，有供货承诺及违约处罚条款，满足比选文件及采购人需求的得3-5分；</w:t>
            </w:r>
          </w:p>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（3）供货承诺及服务场所、服务承诺及服务响应时间包含不可行条件，有供货承诺但无违约处罚条款，基本满足比选文件及采购人需求的得1-2分。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24"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401"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609" w:type="pct"/>
            <w:vAlign w:val="center"/>
          </w:tcPr>
          <w:p>
            <w:pPr>
              <w:spacing w:after="200" w:line="276" w:lineRule="auto"/>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业绩（2分）</w:t>
            </w:r>
          </w:p>
        </w:tc>
        <w:tc>
          <w:tcPr>
            <w:tcW w:w="3565" w:type="pct"/>
            <w:vAlign w:val="center"/>
          </w:tcPr>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比选申请人2019年1月1日至本项目比选申请截止时间（以合同签订日期为准）履约完成过一项类似食堂配送，每提供一项业绩得0.5分，此项最高得2分；</w:t>
            </w:r>
          </w:p>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比选申请人提供的每项业绩须按以下要求提供完整准确的证明文件，如未按以下要求提供完整证明文件的业绩不计分，一年一签的长期服务续签合同每一年的合同按一个业绩计算；</w:t>
            </w:r>
          </w:p>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1.中标通知书；</w:t>
            </w:r>
          </w:p>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2.合同关键页（关键信息包括但不仅限于合同的项目名称、项目编号、合同金额、 服务内容、合同服务的起止时间、签订日期等），如中标通知书、合同关键页均无明确的预算金额，则另须提供由用户单位盖章的证明文件：包括项目编号和名称、比选申请人名称。</w:t>
            </w:r>
          </w:p>
          <w:p>
            <w:pPr>
              <w:jc w:val="left"/>
              <w:rPr>
                <w:rFonts w:hint="default" w:ascii="Times New Roman" w:hAnsi="Times New Roman" w:cs="Times New Roman"/>
                <w:bCs/>
                <w:color w:val="auto"/>
                <w:sz w:val="24"/>
                <w:szCs w:val="20"/>
                <w:highlight w:val="none"/>
              </w:rPr>
            </w:pPr>
            <w:r>
              <w:rPr>
                <w:rFonts w:hint="default" w:ascii="Times New Roman" w:hAnsi="Times New Roman" w:eastAsia="宋体" w:cs="Times New Roman"/>
                <w:color w:val="auto"/>
                <w:szCs w:val="20"/>
                <w:highlight w:val="none"/>
              </w:rPr>
              <w:t>提供以上材料彩色扫描件，未提供或提供的证明材料不清晰导致无法识别或提供的是虚假证明的都不得分。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24"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401"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609" w:type="pct"/>
            <w:vAlign w:val="center"/>
          </w:tcPr>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申请文件（1分）</w:t>
            </w:r>
          </w:p>
        </w:tc>
        <w:tc>
          <w:tcPr>
            <w:tcW w:w="3565" w:type="pct"/>
            <w:vAlign w:val="center"/>
          </w:tcPr>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申请文件编制规范、内容完整、排列有序的得1分；</w:t>
            </w:r>
          </w:p>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申请文件编制规范、内容不完整、排列杂乱的不得分</w:t>
            </w:r>
          </w:p>
        </w:tc>
      </w:tr>
    </w:tbl>
    <w:p>
      <w:pPr>
        <w:pStyle w:val="2"/>
        <w:ind w:firstLine="0" w:firstLineChars="0"/>
        <w:rPr>
          <w:rFonts w:ascii="Times New Roman" w:hAnsi="Times New Roman"/>
          <w:color w:val="auto"/>
          <w:sz w:val="24"/>
          <w:szCs w:val="24"/>
          <w:highlight w:val="none"/>
        </w:rPr>
      </w:pPr>
    </w:p>
    <w:p>
      <w:pPr>
        <w:rPr>
          <w:rFonts w:ascii="Times New Roman" w:hAnsi="Times New Roman" w:eastAsia="宋体" w:cs="Times New Roman"/>
          <w:b/>
          <w:bCs/>
          <w:color w:val="auto"/>
          <w:sz w:val="32"/>
          <w:szCs w:val="32"/>
          <w:highlight w:val="none"/>
        </w:rPr>
      </w:pPr>
      <w:bookmarkStart w:id="243" w:name="_Toc16952680"/>
      <w:bookmarkStart w:id="244" w:name="_Toc8382352"/>
      <w:bookmarkStart w:id="245" w:name="_Toc10320898"/>
      <w:bookmarkStart w:id="246" w:name="_Toc52318206"/>
      <w:bookmarkStart w:id="247" w:name="_Toc18339428"/>
      <w:r>
        <w:rPr>
          <w:rFonts w:hint="eastAsia" w:ascii="Times New Roman" w:hAnsi="Times New Roman" w:eastAsia="宋体" w:cs="Times New Roman"/>
          <w:b/>
          <w:bCs/>
          <w:color w:val="auto"/>
          <w:sz w:val="32"/>
          <w:szCs w:val="32"/>
          <w:highlight w:val="none"/>
        </w:rPr>
        <w:t>3、比选方法</w:t>
      </w:r>
      <w:bookmarkEnd w:id="243"/>
      <w:bookmarkEnd w:id="244"/>
      <w:bookmarkEnd w:id="245"/>
      <w:bookmarkEnd w:id="246"/>
      <w:bookmarkEnd w:id="247"/>
    </w:p>
    <w:p>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本次</w:t>
      </w:r>
      <w:r>
        <w:rPr>
          <w:rFonts w:hint="eastAsia" w:ascii="宋体" w:hAnsi="宋体"/>
          <w:color w:val="auto"/>
          <w:sz w:val="24"/>
          <w:highlight w:val="none"/>
        </w:rPr>
        <w:t>比选原则为：</w:t>
      </w:r>
      <w:r>
        <w:rPr>
          <w:rFonts w:hint="eastAsia" w:ascii="宋体" w:hAnsi="宋体"/>
          <w:color w:val="auto"/>
          <w:sz w:val="24"/>
          <w:szCs w:val="20"/>
          <w:highlight w:val="none"/>
        </w:rPr>
        <w:t>本次比选所采用的评审方法为“综合评分法”，即在最大限度地满足比选文件实质性要求前提下，按照比选文件中规定的各项因素进行综合评审后，以评审总得分最高的申请人作为成交候选人或者成交人的比选方法</w:t>
      </w:r>
      <w:r>
        <w:rPr>
          <w:rFonts w:hint="eastAsia" w:ascii="宋体" w:hAnsi="宋体"/>
          <w:color w:val="auto"/>
          <w:sz w:val="24"/>
          <w:highlight w:val="none"/>
        </w:rPr>
        <w:t>。最后得分</w:t>
      </w:r>
      <w:r>
        <w:rPr>
          <w:rFonts w:ascii="宋体" w:hAnsi="宋体"/>
          <w:color w:val="auto"/>
          <w:sz w:val="24"/>
          <w:highlight w:val="none"/>
        </w:rPr>
        <w:t>相同时，</w:t>
      </w:r>
      <w:r>
        <w:rPr>
          <w:rFonts w:hint="eastAsia" w:ascii="宋体" w:hAnsi="宋体"/>
          <w:color w:val="auto"/>
          <w:sz w:val="24"/>
          <w:highlight w:val="none"/>
        </w:rPr>
        <w:t>根据《云南省财政厅关于贯彻落实稳增长开好局政府采购政策措施有关事宜的通知》的规定，原则上优先就近采购本地或本省产品（服务）。</w:t>
      </w:r>
    </w:p>
    <w:p>
      <w:pPr>
        <w:rPr>
          <w:rFonts w:ascii="Times New Roman" w:hAnsi="Times New Roman" w:eastAsia="宋体" w:cs="Times New Roman"/>
          <w:b/>
          <w:bCs/>
          <w:color w:val="auto"/>
          <w:sz w:val="32"/>
          <w:szCs w:val="32"/>
          <w:highlight w:val="none"/>
        </w:rPr>
      </w:pPr>
      <w:bookmarkStart w:id="248" w:name="_Toc18339429"/>
      <w:bookmarkStart w:id="249" w:name="_Toc8382353"/>
      <w:bookmarkStart w:id="250" w:name="_Toc511457567"/>
      <w:bookmarkStart w:id="251" w:name="_Toc86124095"/>
      <w:bookmarkStart w:id="252" w:name="_Toc3378815"/>
      <w:bookmarkStart w:id="253" w:name="_Toc347849270"/>
      <w:bookmarkStart w:id="254" w:name="_Toc16952681"/>
      <w:bookmarkStart w:id="255" w:name="_Toc378499751"/>
      <w:bookmarkStart w:id="256" w:name="_Toc10320899"/>
      <w:bookmarkStart w:id="257" w:name="_Toc52318207"/>
      <w:r>
        <w:rPr>
          <w:rFonts w:hint="eastAsia" w:ascii="Times New Roman" w:hAnsi="Times New Roman" w:eastAsia="宋体" w:cs="Times New Roman"/>
          <w:b/>
          <w:bCs/>
          <w:color w:val="auto"/>
          <w:sz w:val="32"/>
          <w:szCs w:val="32"/>
          <w:highlight w:val="none"/>
        </w:rPr>
        <w:t>4、比选标准</w:t>
      </w:r>
      <w:bookmarkEnd w:id="248"/>
      <w:bookmarkEnd w:id="249"/>
      <w:bookmarkEnd w:id="250"/>
      <w:bookmarkEnd w:id="251"/>
      <w:bookmarkEnd w:id="252"/>
      <w:bookmarkEnd w:id="253"/>
      <w:bookmarkEnd w:id="254"/>
      <w:bookmarkEnd w:id="255"/>
      <w:bookmarkEnd w:id="256"/>
      <w:bookmarkEnd w:id="257"/>
    </w:p>
    <w:p>
      <w:pPr>
        <w:spacing w:line="360" w:lineRule="auto"/>
        <w:jc w:val="left"/>
        <w:rPr>
          <w:rFonts w:ascii="Times New Roman" w:hAnsi="Times New Roman" w:cs="Times New Roman"/>
          <w:color w:val="auto"/>
          <w:sz w:val="24"/>
          <w:szCs w:val="20"/>
          <w:highlight w:val="none"/>
        </w:rPr>
      </w:pPr>
      <w:bookmarkStart w:id="258" w:name="_Toc3378816"/>
      <w:bookmarkStart w:id="259" w:name="_Toc529197787"/>
      <w:bookmarkStart w:id="260" w:name="_Toc16952682"/>
      <w:bookmarkStart w:id="261" w:name="_Toc18339430"/>
      <w:bookmarkStart w:id="262" w:name="_Toc329810237"/>
      <w:bookmarkStart w:id="263" w:name="_Toc482913005"/>
      <w:bookmarkStart w:id="264" w:name="_Toc511457568"/>
      <w:bookmarkStart w:id="265" w:name="_Toc388341251"/>
      <w:bookmarkStart w:id="266" w:name="_Toc52318208"/>
      <w:bookmarkStart w:id="267" w:name="_Toc48271429"/>
      <w:bookmarkStart w:id="268" w:name="_Toc191374449"/>
      <w:bookmarkStart w:id="269" w:name="_Toc378499752"/>
      <w:bookmarkStart w:id="270" w:name="_Toc498086650"/>
      <w:bookmarkStart w:id="271" w:name="_Toc8382354"/>
      <w:bookmarkStart w:id="272" w:name="_Toc86124096"/>
      <w:bookmarkStart w:id="273" w:name="_Toc10320900"/>
      <w:bookmarkStart w:id="274" w:name="_Toc347849271"/>
      <w:r>
        <w:rPr>
          <w:rFonts w:ascii="Times New Roman" w:hAnsi="Times New Roman" w:cs="Times New Roman"/>
          <w:color w:val="auto"/>
          <w:sz w:val="24"/>
          <w:szCs w:val="20"/>
          <w:highlight w:val="none"/>
        </w:rPr>
        <w:t>4.1 资格审查及符合性要求审查标准</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line="360" w:lineRule="auto"/>
        <w:ind w:firstLine="480" w:firstLineChars="200"/>
        <w:jc w:val="left"/>
        <w:rPr>
          <w:rFonts w:ascii="Times New Roman" w:hAnsi="Times New Roman" w:cs="Times New Roman"/>
          <w:color w:val="auto"/>
          <w:sz w:val="24"/>
          <w:szCs w:val="20"/>
          <w:highlight w:val="none"/>
        </w:rPr>
      </w:pPr>
      <w:r>
        <w:rPr>
          <w:rFonts w:ascii="Times New Roman" w:hAnsi="Times New Roman" w:cs="Times New Roman"/>
          <w:color w:val="auto"/>
          <w:sz w:val="24"/>
          <w:szCs w:val="20"/>
          <w:highlight w:val="none"/>
        </w:rPr>
        <w:t>资格审查标准：依据法律法规和比选文件的规定，对</w:t>
      </w:r>
      <w:r>
        <w:rPr>
          <w:rFonts w:hint="eastAsia" w:ascii="Times New Roman" w:hAnsi="Times New Roman" w:cs="Times New Roman"/>
          <w:color w:val="auto"/>
          <w:sz w:val="24"/>
          <w:szCs w:val="20"/>
          <w:highlight w:val="none"/>
        </w:rPr>
        <w:t>比选申请</w:t>
      </w:r>
      <w:r>
        <w:rPr>
          <w:rFonts w:ascii="Times New Roman" w:hAnsi="Times New Roman" w:cs="Times New Roman"/>
          <w:color w:val="auto"/>
          <w:sz w:val="24"/>
          <w:szCs w:val="20"/>
          <w:highlight w:val="none"/>
        </w:rPr>
        <w:t>文件中的资格证明等实质性要求审查标准进行审查，见“比选程序和方法前附表1.1”。</w:t>
      </w:r>
    </w:p>
    <w:p>
      <w:pPr>
        <w:spacing w:line="360" w:lineRule="auto"/>
        <w:ind w:firstLine="480" w:firstLineChars="200"/>
        <w:jc w:val="left"/>
        <w:rPr>
          <w:rFonts w:ascii="Times New Roman" w:hAnsi="Times New Roman" w:cs="Times New Roman"/>
          <w:color w:val="auto"/>
          <w:sz w:val="24"/>
          <w:szCs w:val="20"/>
          <w:highlight w:val="none"/>
        </w:rPr>
      </w:pPr>
      <w:r>
        <w:rPr>
          <w:rFonts w:ascii="Times New Roman" w:hAnsi="Times New Roman" w:cs="Times New Roman"/>
          <w:color w:val="auto"/>
          <w:sz w:val="24"/>
          <w:szCs w:val="20"/>
          <w:highlight w:val="none"/>
        </w:rPr>
        <w:t>符合性审查标准：依据法律法规和比选文件的规定，对</w:t>
      </w:r>
      <w:r>
        <w:rPr>
          <w:rFonts w:hint="eastAsia" w:ascii="Times New Roman" w:hAnsi="Times New Roman" w:cs="Times New Roman"/>
          <w:color w:val="auto"/>
          <w:sz w:val="24"/>
          <w:szCs w:val="20"/>
          <w:highlight w:val="none"/>
        </w:rPr>
        <w:t>比选申请</w:t>
      </w:r>
      <w:r>
        <w:rPr>
          <w:rFonts w:ascii="Times New Roman" w:hAnsi="Times New Roman" w:cs="Times New Roman"/>
          <w:color w:val="auto"/>
          <w:sz w:val="24"/>
          <w:szCs w:val="20"/>
          <w:highlight w:val="none"/>
        </w:rPr>
        <w:t>文件中的符合性证明等实质性要求审查标准进行审查，见“比选程序和方法前附表1.2”。</w:t>
      </w:r>
    </w:p>
    <w:p>
      <w:pPr>
        <w:spacing w:line="360" w:lineRule="auto"/>
        <w:jc w:val="left"/>
        <w:rPr>
          <w:rFonts w:ascii="Times New Roman" w:hAnsi="Times New Roman" w:cs="Times New Roman"/>
          <w:color w:val="auto"/>
          <w:sz w:val="24"/>
          <w:szCs w:val="20"/>
          <w:highlight w:val="none"/>
        </w:rPr>
      </w:pPr>
      <w:bookmarkStart w:id="275" w:name="_Toc48271430"/>
      <w:bookmarkStart w:id="276" w:name="_Toc347849272"/>
      <w:bookmarkStart w:id="277" w:name="_Toc16952683"/>
      <w:bookmarkStart w:id="278" w:name="_Toc86124097"/>
      <w:bookmarkStart w:id="279" w:name="_Toc329810238"/>
      <w:bookmarkStart w:id="280" w:name="_Toc52318209"/>
      <w:bookmarkStart w:id="281" w:name="_Toc18339431"/>
      <w:bookmarkStart w:id="282" w:name="_Toc388341252"/>
      <w:bookmarkStart w:id="283" w:name="_Toc529197788"/>
      <w:bookmarkStart w:id="284" w:name="_Toc8382355"/>
      <w:bookmarkStart w:id="285" w:name="_Toc498086651"/>
      <w:bookmarkStart w:id="286" w:name="_Toc482913006"/>
      <w:bookmarkStart w:id="287" w:name="_Toc3378817"/>
      <w:bookmarkStart w:id="288" w:name="_Toc378499753"/>
      <w:bookmarkStart w:id="289" w:name="_Toc511457569"/>
      <w:bookmarkStart w:id="290" w:name="_Toc10320901"/>
      <w:r>
        <w:rPr>
          <w:rFonts w:ascii="Times New Roman" w:hAnsi="Times New Roman" w:cs="Times New Roman"/>
          <w:color w:val="auto"/>
          <w:sz w:val="24"/>
          <w:szCs w:val="20"/>
          <w:highlight w:val="none"/>
        </w:rPr>
        <w:t>4.2 比选标准</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line="360" w:lineRule="auto"/>
        <w:ind w:firstLine="480" w:firstLineChars="200"/>
        <w:jc w:val="left"/>
        <w:rPr>
          <w:rFonts w:ascii="宋体" w:hAnsi="宋体"/>
          <w:color w:val="auto"/>
          <w:sz w:val="24"/>
          <w:szCs w:val="20"/>
          <w:highlight w:val="none"/>
        </w:rPr>
      </w:pPr>
      <w:r>
        <w:rPr>
          <w:rFonts w:ascii="Times New Roman" w:hAnsi="Times New Roman" w:cs="Times New Roman"/>
          <w:color w:val="auto"/>
          <w:sz w:val="24"/>
          <w:szCs w:val="20"/>
          <w:highlight w:val="none"/>
        </w:rPr>
        <w:t>比选小组按比选文件中规定的比选方法和标准，对实质性要求审查合格的</w:t>
      </w:r>
      <w:r>
        <w:rPr>
          <w:rFonts w:hint="eastAsia" w:ascii="Times New Roman" w:hAnsi="Times New Roman" w:cs="Times New Roman"/>
          <w:color w:val="auto"/>
          <w:sz w:val="24"/>
          <w:szCs w:val="20"/>
          <w:highlight w:val="none"/>
        </w:rPr>
        <w:t>比选申请</w:t>
      </w:r>
      <w:r>
        <w:rPr>
          <w:rFonts w:ascii="Times New Roman" w:hAnsi="Times New Roman" w:cs="Times New Roman"/>
          <w:color w:val="auto"/>
          <w:sz w:val="24"/>
          <w:szCs w:val="20"/>
          <w:highlight w:val="none"/>
        </w:rPr>
        <w:t>文件进行比较与评</w:t>
      </w:r>
      <w:r>
        <w:rPr>
          <w:rFonts w:ascii="宋体" w:hAnsi="宋体"/>
          <w:color w:val="auto"/>
          <w:sz w:val="24"/>
          <w:szCs w:val="20"/>
          <w:highlight w:val="none"/>
        </w:rPr>
        <w:t>价，</w:t>
      </w:r>
      <w:r>
        <w:rPr>
          <w:rFonts w:hint="eastAsia" w:ascii="宋体" w:hAnsi="宋体"/>
          <w:color w:val="auto"/>
          <w:sz w:val="24"/>
          <w:szCs w:val="20"/>
          <w:highlight w:val="none"/>
        </w:rPr>
        <w:t>在</w:t>
      </w:r>
      <w:r>
        <w:rPr>
          <w:rFonts w:ascii="宋体" w:hAnsi="宋体"/>
          <w:color w:val="auto"/>
          <w:sz w:val="24"/>
          <w:szCs w:val="20"/>
          <w:highlight w:val="none"/>
        </w:rPr>
        <w:t>均能满足采购文件实质性</w:t>
      </w:r>
      <w:r>
        <w:rPr>
          <w:rFonts w:hint="eastAsia" w:ascii="宋体" w:hAnsi="宋体"/>
          <w:color w:val="auto"/>
          <w:sz w:val="24"/>
          <w:szCs w:val="20"/>
          <w:highlight w:val="none"/>
        </w:rPr>
        <w:t>比选申请</w:t>
      </w:r>
      <w:r>
        <w:rPr>
          <w:rFonts w:ascii="宋体" w:hAnsi="宋体"/>
          <w:color w:val="auto"/>
          <w:sz w:val="24"/>
          <w:szCs w:val="20"/>
          <w:highlight w:val="none"/>
        </w:rPr>
        <w:t>要求</w:t>
      </w:r>
      <w:r>
        <w:rPr>
          <w:rFonts w:hint="eastAsia" w:ascii="宋体" w:hAnsi="宋体"/>
          <w:color w:val="auto"/>
          <w:sz w:val="24"/>
          <w:szCs w:val="20"/>
          <w:highlight w:val="none"/>
        </w:rPr>
        <w:t>前提下，按照按评审后总得分由高到低顺序推荐三名成交候选人。</w:t>
      </w:r>
    </w:p>
    <w:p>
      <w:pPr>
        <w:rPr>
          <w:rFonts w:ascii="Times New Roman" w:hAnsi="Times New Roman" w:eastAsia="宋体" w:cs="Times New Roman"/>
          <w:b/>
          <w:bCs/>
          <w:color w:val="auto"/>
          <w:sz w:val="32"/>
          <w:szCs w:val="32"/>
          <w:highlight w:val="none"/>
        </w:rPr>
      </w:pPr>
      <w:bookmarkStart w:id="291" w:name="_Toc18339432"/>
      <w:bookmarkStart w:id="292" w:name="_Toc191374451"/>
      <w:bookmarkStart w:id="293" w:name="_Toc10320902"/>
      <w:bookmarkStart w:id="294" w:name="_Toc347849273"/>
      <w:bookmarkStart w:id="295" w:name="_Toc86124098"/>
      <w:bookmarkStart w:id="296" w:name="_Toc378499754"/>
      <w:bookmarkStart w:id="297" w:name="_Toc16952684"/>
      <w:bookmarkStart w:id="298" w:name="_Toc8382356"/>
      <w:bookmarkStart w:id="299" w:name="_Toc52318210"/>
      <w:bookmarkStart w:id="300" w:name="_Toc511457570"/>
      <w:bookmarkStart w:id="301" w:name="_Toc3378818"/>
      <w:r>
        <w:rPr>
          <w:rFonts w:hint="eastAsia" w:ascii="Times New Roman" w:hAnsi="Times New Roman" w:eastAsia="宋体" w:cs="Times New Roman"/>
          <w:b/>
          <w:bCs/>
          <w:color w:val="auto"/>
          <w:sz w:val="32"/>
          <w:szCs w:val="32"/>
          <w:highlight w:val="none"/>
        </w:rPr>
        <w:t>5、比选程序</w:t>
      </w:r>
      <w:bookmarkEnd w:id="291"/>
      <w:bookmarkEnd w:id="292"/>
      <w:bookmarkEnd w:id="293"/>
      <w:bookmarkEnd w:id="294"/>
      <w:bookmarkEnd w:id="295"/>
      <w:bookmarkEnd w:id="296"/>
      <w:bookmarkEnd w:id="297"/>
      <w:bookmarkEnd w:id="298"/>
      <w:bookmarkEnd w:id="299"/>
      <w:bookmarkEnd w:id="300"/>
      <w:bookmarkEnd w:id="301"/>
    </w:p>
    <w:p>
      <w:pPr>
        <w:spacing w:line="360" w:lineRule="auto"/>
        <w:jc w:val="left"/>
        <w:rPr>
          <w:rFonts w:ascii="Times New Roman" w:hAnsi="Times New Roman" w:cs="Times New Roman"/>
          <w:color w:val="auto"/>
          <w:sz w:val="24"/>
          <w:szCs w:val="20"/>
          <w:highlight w:val="none"/>
        </w:rPr>
      </w:pPr>
      <w:bookmarkStart w:id="302" w:name="_Toc347849274"/>
      <w:bookmarkStart w:id="303" w:name="_Toc48271432"/>
      <w:bookmarkStart w:id="304" w:name="_Toc86124099"/>
      <w:bookmarkStart w:id="305" w:name="_Toc378499755"/>
      <w:bookmarkStart w:id="306" w:name="_Toc191374452"/>
      <w:bookmarkStart w:id="307" w:name="_Toc329810240"/>
      <w:bookmarkStart w:id="308" w:name="_Toc52318211"/>
      <w:bookmarkStart w:id="309" w:name="_Toc529197790"/>
      <w:bookmarkStart w:id="310" w:name="_Toc498086653"/>
      <w:bookmarkStart w:id="311" w:name="_Toc16952685"/>
      <w:bookmarkStart w:id="312" w:name="_Toc482913008"/>
      <w:bookmarkStart w:id="313" w:name="_Toc511457571"/>
      <w:bookmarkStart w:id="314" w:name="_Toc388341254"/>
      <w:bookmarkStart w:id="315" w:name="_Toc10320903"/>
      <w:bookmarkStart w:id="316" w:name="_Toc8382357"/>
      <w:bookmarkStart w:id="317" w:name="_Toc3378819"/>
      <w:bookmarkStart w:id="318" w:name="_Toc18339433"/>
      <w:r>
        <w:rPr>
          <w:rFonts w:hint="eastAsia" w:ascii="Times New Roman" w:hAnsi="Times New Roman" w:cs="Times New Roman"/>
          <w:color w:val="auto"/>
          <w:sz w:val="24"/>
          <w:szCs w:val="20"/>
          <w:highlight w:val="none"/>
        </w:rPr>
        <w:t>5</w:t>
      </w:r>
      <w:r>
        <w:rPr>
          <w:rFonts w:ascii="Times New Roman" w:hAnsi="Times New Roman" w:cs="Times New Roman"/>
          <w:color w:val="auto"/>
          <w:sz w:val="24"/>
          <w:szCs w:val="20"/>
          <w:highlight w:val="none"/>
        </w:rPr>
        <w:t xml:space="preserve">.1 </w:t>
      </w:r>
      <w:bookmarkEnd w:id="302"/>
      <w:bookmarkEnd w:id="303"/>
      <w:bookmarkEnd w:id="304"/>
      <w:bookmarkEnd w:id="305"/>
      <w:bookmarkEnd w:id="306"/>
      <w:bookmarkEnd w:id="307"/>
      <w:r>
        <w:rPr>
          <w:rFonts w:hint="eastAsia" w:ascii="Times New Roman" w:hAnsi="Times New Roman" w:cs="Times New Roman"/>
          <w:color w:val="auto"/>
          <w:sz w:val="24"/>
          <w:szCs w:val="20"/>
          <w:highlight w:val="none"/>
        </w:rPr>
        <w:t>资格审查及符合性审查</w:t>
      </w:r>
      <w:bookmarkEnd w:id="308"/>
      <w:bookmarkEnd w:id="309"/>
      <w:bookmarkEnd w:id="310"/>
      <w:bookmarkEnd w:id="311"/>
      <w:bookmarkEnd w:id="312"/>
      <w:bookmarkEnd w:id="313"/>
      <w:bookmarkEnd w:id="314"/>
      <w:bookmarkEnd w:id="315"/>
      <w:bookmarkEnd w:id="316"/>
      <w:bookmarkEnd w:id="317"/>
      <w:bookmarkEnd w:id="318"/>
    </w:p>
    <w:p>
      <w:pPr>
        <w:spacing w:line="360" w:lineRule="auto"/>
        <w:ind w:firstLine="480" w:firstLineChars="200"/>
        <w:jc w:val="left"/>
        <w:rPr>
          <w:color w:val="auto"/>
          <w:highlight w:val="none"/>
        </w:rPr>
      </w:pPr>
      <w:r>
        <w:rPr>
          <w:rFonts w:ascii="Times New Roman" w:hAnsi="Times New Roman" w:cs="Times New Roman"/>
          <w:color w:val="auto"/>
          <w:sz w:val="24"/>
          <w:szCs w:val="20"/>
          <w:highlight w:val="none"/>
        </w:rPr>
        <w:t>比选小组依据本章</w:t>
      </w:r>
      <w:r>
        <w:rPr>
          <w:rFonts w:hint="eastAsia" w:ascii="Times New Roman" w:hAnsi="Times New Roman" w:cs="Times New Roman"/>
          <w:color w:val="auto"/>
          <w:sz w:val="24"/>
          <w:szCs w:val="20"/>
          <w:highlight w:val="none"/>
        </w:rPr>
        <w:t>1.比选程序和方法前附表1.1、1.2</w:t>
      </w:r>
      <w:r>
        <w:rPr>
          <w:rFonts w:ascii="Times New Roman" w:hAnsi="Times New Roman" w:cs="Times New Roman"/>
          <w:color w:val="auto"/>
          <w:sz w:val="24"/>
          <w:szCs w:val="20"/>
          <w:highlight w:val="none"/>
        </w:rPr>
        <w:t>项规定的标准对</w:t>
      </w:r>
      <w:r>
        <w:rPr>
          <w:rFonts w:hint="eastAsia" w:ascii="Times New Roman" w:hAnsi="Times New Roman" w:cs="Times New Roman"/>
          <w:color w:val="auto"/>
          <w:sz w:val="24"/>
          <w:szCs w:val="20"/>
          <w:highlight w:val="none"/>
        </w:rPr>
        <w:t>申请</w:t>
      </w:r>
      <w:r>
        <w:rPr>
          <w:rFonts w:ascii="Times New Roman" w:hAnsi="Times New Roman" w:cs="Times New Roman"/>
          <w:color w:val="auto"/>
          <w:sz w:val="24"/>
          <w:szCs w:val="20"/>
          <w:highlight w:val="none"/>
        </w:rPr>
        <w:t>文件进行</w:t>
      </w:r>
      <w:r>
        <w:rPr>
          <w:rFonts w:hint="eastAsia" w:ascii="Times New Roman" w:hAnsi="Times New Roman" w:cs="Times New Roman"/>
          <w:color w:val="auto"/>
          <w:sz w:val="24"/>
          <w:szCs w:val="20"/>
          <w:highlight w:val="none"/>
        </w:rPr>
        <w:t>资格审查和符合审查</w:t>
      </w:r>
      <w:r>
        <w:rPr>
          <w:rFonts w:ascii="Times New Roman" w:hAnsi="Times New Roman" w:cs="Times New Roman"/>
          <w:color w:val="auto"/>
          <w:sz w:val="24"/>
          <w:szCs w:val="20"/>
          <w:highlight w:val="none"/>
        </w:rPr>
        <w:t>。有一项不符合</w:t>
      </w:r>
      <w:r>
        <w:rPr>
          <w:rFonts w:hint="eastAsia" w:ascii="Times New Roman" w:hAnsi="Times New Roman" w:cs="Times New Roman"/>
          <w:color w:val="auto"/>
          <w:sz w:val="24"/>
          <w:szCs w:val="20"/>
          <w:highlight w:val="none"/>
        </w:rPr>
        <w:t>比选</w:t>
      </w:r>
      <w:r>
        <w:rPr>
          <w:rFonts w:ascii="Times New Roman" w:hAnsi="Times New Roman" w:cs="Times New Roman"/>
          <w:color w:val="auto"/>
          <w:sz w:val="24"/>
          <w:szCs w:val="20"/>
          <w:highlight w:val="none"/>
        </w:rPr>
        <w:t>标准的，</w:t>
      </w:r>
      <w:r>
        <w:rPr>
          <w:rFonts w:hint="eastAsia" w:ascii="Times New Roman" w:hAnsi="Times New Roman" w:cs="Times New Roman"/>
          <w:color w:val="auto"/>
          <w:sz w:val="24"/>
          <w:szCs w:val="20"/>
          <w:highlight w:val="none"/>
        </w:rPr>
        <w:t>不通过资格审查和符合审查，</w:t>
      </w:r>
      <w:r>
        <w:rPr>
          <w:rFonts w:ascii="Times New Roman" w:hAnsi="Times New Roman" w:cs="Times New Roman"/>
          <w:color w:val="auto"/>
          <w:sz w:val="24"/>
          <w:szCs w:val="20"/>
          <w:highlight w:val="none"/>
        </w:rPr>
        <w:t>不再参与比选</w:t>
      </w:r>
      <w:r>
        <w:rPr>
          <w:rFonts w:hint="eastAsia" w:ascii="Times New Roman" w:hAnsi="Times New Roman" w:cs="Times New Roman"/>
          <w:color w:val="auto"/>
          <w:sz w:val="24"/>
          <w:szCs w:val="20"/>
          <w:highlight w:val="none"/>
        </w:rPr>
        <w:t>。</w:t>
      </w:r>
    </w:p>
    <w:p>
      <w:pPr>
        <w:spacing w:line="360" w:lineRule="auto"/>
        <w:jc w:val="left"/>
        <w:rPr>
          <w:rFonts w:ascii="Times New Roman" w:hAnsi="Times New Roman" w:cs="Times New Roman"/>
          <w:color w:val="auto"/>
          <w:sz w:val="24"/>
          <w:szCs w:val="20"/>
          <w:highlight w:val="none"/>
        </w:rPr>
      </w:pPr>
      <w:bookmarkStart w:id="319" w:name="_Toc86124100"/>
      <w:bookmarkStart w:id="320" w:name="_Toc191374453"/>
      <w:bookmarkStart w:id="321" w:name="_Toc48271433"/>
      <w:bookmarkStart w:id="322" w:name="_Toc378499756"/>
      <w:bookmarkStart w:id="323" w:name="_Toc498086654"/>
      <w:bookmarkStart w:id="324" w:name="_Toc3378820"/>
      <w:bookmarkStart w:id="325" w:name="_Toc10320904"/>
      <w:bookmarkStart w:id="326" w:name="_Toc529197791"/>
      <w:bookmarkStart w:id="327" w:name="_Toc482913009"/>
      <w:bookmarkStart w:id="328" w:name="_Toc52318212"/>
      <w:bookmarkStart w:id="329" w:name="_Toc347849275"/>
      <w:bookmarkStart w:id="330" w:name="_Toc511457572"/>
      <w:bookmarkStart w:id="331" w:name="_Toc388341255"/>
      <w:bookmarkStart w:id="332" w:name="_Toc18339434"/>
      <w:bookmarkStart w:id="333" w:name="_Toc329810241"/>
      <w:bookmarkStart w:id="334" w:name="_Toc8382358"/>
      <w:bookmarkStart w:id="335" w:name="_Toc16952686"/>
      <w:r>
        <w:rPr>
          <w:rFonts w:hint="eastAsia" w:ascii="Times New Roman" w:hAnsi="Times New Roman" w:cs="Times New Roman"/>
          <w:color w:val="auto"/>
          <w:sz w:val="24"/>
          <w:szCs w:val="20"/>
          <w:highlight w:val="none"/>
        </w:rPr>
        <w:t xml:space="preserve">5.2 </w:t>
      </w:r>
      <w:bookmarkEnd w:id="319"/>
      <w:bookmarkEnd w:id="320"/>
      <w:bookmarkStart w:id="336" w:name="_Toc191374454"/>
      <w:bookmarkStart w:id="337" w:name="_Toc86124101"/>
      <w:r>
        <w:rPr>
          <w:rFonts w:hint="eastAsia" w:ascii="Times New Roman" w:hAnsi="Times New Roman" w:cs="Times New Roman"/>
          <w:color w:val="auto"/>
          <w:sz w:val="24"/>
          <w:szCs w:val="20"/>
          <w:highlight w:val="none"/>
        </w:rPr>
        <w:t>比选</w:t>
      </w:r>
      <w:bookmarkEnd w:id="321"/>
      <w:r>
        <w:rPr>
          <w:rFonts w:hint="eastAsia" w:ascii="Times New Roman" w:hAnsi="Times New Roman" w:cs="Times New Roman"/>
          <w:color w:val="auto"/>
          <w:sz w:val="24"/>
          <w:szCs w:val="20"/>
          <w:highlight w:val="none"/>
        </w:rPr>
        <w:t>、比较与评价</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spacing w:line="360" w:lineRule="auto"/>
        <w:ind w:firstLine="480" w:firstLineChars="200"/>
        <w:jc w:val="left"/>
        <w:rPr>
          <w:rFonts w:ascii="Times New Roman" w:hAnsi="Times New Roman" w:cs="Times New Roman"/>
          <w:color w:val="auto"/>
          <w:sz w:val="24"/>
          <w:szCs w:val="20"/>
          <w:highlight w:val="none"/>
        </w:rPr>
      </w:pPr>
      <w:r>
        <w:rPr>
          <w:rFonts w:hint="eastAsia" w:ascii="Times New Roman" w:hAnsi="Times New Roman" w:cs="Times New Roman"/>
          <w:color w:val="auto"/>
          <w:sz w:val="24"/>
          <w:szCs w:val="20"/>
          <w:highlight w:val="none"/>
        </w:rPr>
        <w:t>5.2.1由比选小组采用综合评分法对通过资格审查和符合审查的申请人的申请文件进行综合评分。</w:t>
      </w:r>
    </w:p>
    <w:p>
      <w:pPr>
        <w:spacing w:line="360" w:lineRule="auto"/>
        <w:ind w:firstLine="480" w:firstLineChars="200"/>
        <w:jc w:val="left"/>
        <w:rPr>
          <w:rFonts w:ascii="Times New Roman" w:hAnsi="Times New Roman" w:cs="Times New Roman"/>
          <w:color w:val="auto"/>
          <w:sz w:val="24"/>
          <w:szCs w:val="20"/>
          <w:highlight w:val="none"/>
        </w:rPr>
      </w:pPr>
      <w:r>
        <w:rPr>
          <w:rFonts w:hint="eastAsia" w:ascii="Times New Roman" w:hAnsi="Times New Roman" w:cs="Times New Roman"/>
          <w:color w:val="auto"/>
          <w:sz w:val="24"/>
          <w:szCs w:val="20"/>
          <w:highlight w:val="none"/>
        </w:rPr>
        <w:t>5.2.2比选小组成员要依法独立审查，并对审查意见承担个人责任。比选小组成员对需要共同认定的事项存在争议的，按照少数服从多数的原则做出结论。</w:t>
      </w:r>
    </w:p>
    <w:p>
      <w:pPr>
        <w:spacing w:line="360" w:lineRule="auto"/>
        <w:ind w:firstLine="480" w:firstLineChars="200"/>
        <w:jc w:val="left"/>
        <w:rPr>
          <w:color w:val="auto"/>
          <w:highlight w:val="none"/>
        </w:rPr>
      </w:pPr>
      <w:r>
        <w:rPr>
          <w:rFonts w:hint="eastAsia" w:ascii="Times New Roman" w:hAnsi="Times New Roman" w:cs="Times New Roman"/>
          <w:color w:val="auto"/>
          <w:sz w:val="24"/>
          <w:szCs w:val="20"/>
          <w:highlight w:val="none"/>
        </w:rPr>
        <w:t>5.2.3比选结果</w:t>
      </w:r>
      <w:r>
        <w:rPr>
          <w:rFonts w:ascii="Times New Roman" w:hAnsi="Times New Roman" w:cs="Times New Roman"/>
          <w:color w:val="auto"/>
          <w:sz w:val="24"/>
          <w:szCs w:val="20"/>
          <w:highlight w:val="none"/>
        </w:rPr>
        <w:t>应当由比选小组全体人员签字认可。比选小组成员对评审</w:t>
      </w:r>
      <w:r>
        <w:rPr>
          <w:rFonts w:hint="eastAsia" w:ascii="Times New Roman" w:hAnsi="Times New Roman" w:cs="Times New Roman"/>
          <w:color w:val="auto"/>
          <w:sz w:val="24"/>
          <w:szCs w:val="20"/>
          <w:highlight w:val="none"/>
        </w:rPr>
        <w:t>结果</w:t>
      </w:r>
      <w:r>
        <w:rPr>
          <w:rFonts w:ascii="Times New Roman" w:hAnsi="Times New Roman" w:cs="Times New Roman"/>
          <w:color w:val="auto"/>
          <w:sz w:val="24"/>
          <w:szCs w:val="20"/>
          <w:highlight w:val="none"/>
        </w:rPr>
        <w:t>有异议的，比选小组按照少数服从多数的原则推荐成交候选人，</w:t>
      </w:r>
      <w:r>
        <w:rPr>
          <w:rFonts w:hint="eastAsia" w:ascii="Times New Roman" w:hAnsi="Times New Roman" w:cs="Times New Roman"/>
          <w:color w:val="auto"/>
          <w:sz w:val="24"/>
          <w:szCs w:val="20"/>
          <w:highlight w:val="none"/>
        </w:rPr>
        <w:t>比选</w:t>
      </w:r>
      <w:r>
        <w:rPr>
          <w:rFonts w:ascii="Times New Roman" w:hAnsi="Times New Roman" w:cs="Times New Roman"/>
          <w:color w:val="auto"/>
          <w:sz w:val="24"/>
          <w:szCs w:val="20"/>
          <w:highlight w:val="none"/>
        </w:rPr>
        <w:t>程序继续进行。对评审</w:t>
      </w:r>
      <w:r>
        <w:rPr>
          <w:rFonts w:hint="eastAsia" w:ascii="Times New Roman" w:hAnsi="Times New Roman" w:cs="Times New Roman"/>
          <w:color w:val="auto"/>
          <w:sz w:val="24"/>
          <w:szCs w:val="20"/>
          <w:highlight w:val="none"/>
        </w:rPr>
        <w:t>结果</w:t>
      </w:r>
      <w:r>
        <w:rPr>
          <w:rFonts w:ascii="Times New Roman" w:hAnsi="Times New Roman" w:cs="Times New Roman"/>
          <w:color w:val="auto"/>
          <w:sz w:val="24"/>
          <w:szCs w:val="20"/>
          <w:highlight w:val="none"/>
        </w:rPr>
        <w:t>有异议的比选小组成员，应当签署不同意见并说明理由，由比选小组书面记录相关情况。比选小组成员拒绝在</w:t>
      </w:r>
      <w:r>
        <w:rPr>
          <w:rFonts w:hint="eastAsia" w:ascii="Times New Roman" w:hAnsi="Times New Roman" w:cs="Times New Roman"/>
          <w:color w:val="auto"/>
          <w:sz w:val="24"/>
          <w:szCs w:val="20"/>
          <w:highlight w:val="none"/>
        </w:rPr>
        <w:t>记录表</w:t>
      </w:r>
      <w:r>
        <w:rPr>
          <w:rFonts w:ascii="Times New Roman" w:hAnsi="Times New Roman" w:cs="Times New Roman"/>
          <w:color w:val="auto"/>
          <w:sz w:val="24"/>
          <w:szCs w:val="20"/>
          <w:highlight w:val="none"/>
        </w:rPr>
        <w:t>上签字又不书面说明其不同意见和理由的，视为同意评审</w:t>
      </w:r>
      <w:r>
        <w:rPr>
          <w:rFonts w:hint="eastAsia" w:ascii="Times New Roman" w:hAnsi="Times New Roman" w:cs="Times New Roman"/>
          <w:color w:val="auto"/>
          <w:sz w:val="24"/>
          <w:szCs w:val="20"/>
          <w:highlight w:val="none"/>
        </w:rPr>
        <w:t>结果</w:t>
      </w:r>
      <w:r>
        <w:rPr>
          <w:rFonts w:ascii="Times New Roman" w:hAnsi="Times New Roman" w:cs="Times New Roman"/>
          <w:color w:val="auto"/>
          <w:sz w:val="24"/>
          <w:szCs w:val="20"/>
          <w:highlight w:val="none"/>
        </w:rPr>
        <w:t>。</w:t>
      </w:r>
    </w:p>
    <w:p>
      <w:pPr>
        <w:spacing w:line="360" w:lineRule="auto"/>
        <w:jc w:val="left"/>
        <w:rPr>
          <w:rFonts w:ascii="Times New Roman" w:hAnsi="Times New Roman" w:cs="Times New Roman"/>
          <w:color w:val="auto"/>
          <w:sz w:val="24"/>
          <w:szCs w:val="20"/>
          <w:highlight w:val="none"/>
        </w:rPr>
      </w:pPr>
      <w:bookmarkStart w:id="338" w:name="_Toc8382359"/>
      <w:bookmarkStart w:id="339" w:name="_Toc347849276"/>
      <w:bookmarkStart w:id="340" w:name="_Toc52318213"/>
      <w:bookmarkStart w:id="341" w:name="_Toc388341256"/>
      <w:bookmarkStart w:id="342" w:name="_Toc529197792"/>
      <w:bookmarkStart w:id="343" w:name="_Toc482913010"/>
      <w:bookmarkStart w:id="344" w:name="_Toc3378821"/>
      <w:bookmarkStart w:id="345" w:name="_Toc329810242"/>
      <w:bookmarkStart w:id="346" w:name="_Toc10320905"/>
      <w:bookmarkStart w:id="347" w:name="_Toc511457573"/>
      <w:bookmarkStart w:id="348" w:name="_Toc378499757"/>
      <w:bookmarkStart w:id="349" w:name="_Toc498086655"/>
      <w:bookmarkStart w:id="350" w:name="_Toc16952687"/>
      <w:bookmarkStart w:id="351" w:name="_Toc18339435"/>
      <w:r>
        <w:rPr>
          <w:rFonts w:hint="eastAsia" w:ascii="Times New Roman" w:hAnsi="Times New Roman" w:cs="Times New Roman"/>
          <w:color w:val="auto"/>
          <w:sz w:val="24"/>
          <w:szCs w:val="20"/>
          <w:highlight w:val="none"/>
        </w:rPr>
        <w:t>5.3 比选结果</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bookmarkEnd w:id="336"/>
    <w:bookmarkEnd w:id="337"/>
    <w:p>
      <w:pPr>
        <w:spacing w:line="360" w:lineRule="auto"/>
        <w:ind w:firstLine="480" w:firstLineChars="200"/>
        <w:jc w:val="left"/>
        <w:rPr>
          <w:rFonts w:ascii="Times New Roman" w:hAnsi="Times New Roman" w:cs="Times New Roman"/>
          <w:color w:val="auto"/>
          <w:sz w:val="24"/>
          <w:szCs w:val="20"/>
          <w:highlight w:val="none"/>
        </w:rPr>
      </w:pPr>
      <w:r>
        <w:rPr>
          <w:rFonts w:hint="eastAsia" w:ascii="Times New Roman" w:hAnsi="Times New Roman" w:cs="Times New Roman"/>
          <w:color w:val="auto"/>
          <w:sz w:val="24"/>
          <w:szCs w:val="20"/>
          <w:highlight w:val="none"/>
        </w:rPr>
        <w:t>比选小组应当从能满足比选文件实质性比选申请要求的申请人中，按照按评审后总得分由高到低顺序推荐成交候选人。总得分相同的，按商务评审得分由高到低顺序排列，总得分且商务评审得分相同的，按技术评审得分由高到低顺序排列；依次类推，并编写评审报告。最后得分相同时，根据《云南省财政厅关于贯彻落实稳增长开好局政府采购政策措施有关事宜的通知》的规定，原则上优先就近采购本地或本省产品（服务）。</w:t>
      </w:r>
    </w:p>
    <w:bookmarkEnd w:id="236"/>
    <w:bookmarkEnd w:id="237"/>
    <w:bookmarkEnd w:id="238"/>
    <w:bookmarkEnd w:id="239"/>
    <w:p>
      <w:pPr>
        <w:spacing w:line="460" w:lineRule="exact"/>
        <w:rPr>
          <w:rFonts w:ascii="Times New Roman" w:hAnsi="Times New Roman" w:eastAsia="宋体" w:cs="Times New Roman"/>
          <w:color w:val="auto"/>
          <w:sz w:val="24"/>
          <w:highlight w:val="none"/>
        </w:rPr>
      </w:pPr>
      <w:bookmarkStart w:id="352" w:name="_Toc57104298"/>
      <w:bookmarkStart w:id="353" w:name="_Toc60996703"/>
      <w:bookmarkStart w:id="354" w:name="_Toc9761_WPSOffice_Level1"/>
      <w:bookmarkStart w:id="355" w:name="_Toc26723_WPSOffice_Level2"/>
      <w:bookmarkStart w:id="356" w:name="_第八章_政府采购供应商质疑函范本"/>
      <w:bookmarkStart w:id="357" w:name="_Toc59718140"/>
    </w:p>
    <w:p>
      <w:pPr>
        <w:pStyle w:val="2"/>
        <w:ind w:firstLine="0" w:firstLineChars="0"/>
        <w:rPr>
          <w:color w:val="auto"/>
          <w:highlight w:val="none"/>
        </w:rPr>
        <w:sectPr>
          <w:pgSz w:w="11906" w:h="16838"/>
          <w:pgMar w:top="1440" w:right="1800" w:bottom="1440" w:left="1800" w:header="851" w:footer="992" w:gutter="0"/>
          <w:cols w:space="425" w:num="1"/>
          <w:docGrid w:type="lines" w:linePitch="312" w:charSpace="0"/>
        </w:sectPr>
      </w:pPr>
    </w:p>
    <w:p>
      <w:pPr>
        <w:jc w:val="left"/>
        <w:rPr>
          <w:b/>
          <w:bCs/>
          <w:color w:val="auto"/>
          <w:sz w:val="32"/>
          <w:szCs w:val="32"/>
          <w:highlight w:val="none"/>
        </w:rPr>
      </w:pPr>
      <w:r>
        <w:rPr>
          <w:rFonts w:hint="eastAsia" w:ascii="宋体" w:hAnsi="宋体" w:eastAsia="宋体" w:cs="宋体"/>
          <w:b/>
          <w:color w:val="auto"/>
          <w:sz w:val="24"/>
          <w:highlight w:val="none"/>
        </w:rPr>
        <w:t>注：此表不需装入申请文件中，请自备1-2份签字、盖章后带到现场备用。</w:t>
      </w:r>
    </w:p>
    <w:p>
      <w:pPr>
        <w:jc w:val="center"/>
        <w:rPr>
          <w:color w:val="auto"/>
          <w:highlight w:val="none"/>
        </w:rPr>
      </w:pPr>
      <w:bookmarkStart w:id="358" w:name="_Toc69989552"/>
      <w:r>
        <w:rPr>
          <w:rFonts w:hint="eastAsia"/>
          <w:b/>
          <w:bCs/>
          <w:color w:val="auto"/>
          <w:sz w:val="32"/>
          <w:szCs w:val="32"/>
          <w:highlight w:val="none"/>
        </w:rPr>
        <w:t>二次报价表（最终报价）</w:t>
      </w:r>
      <w:bookmarkEnd w:id="358"/>
    </w:p>
    <w:p>
      <w:pPr>
        <w:spacing w:line="400" w:lineRule="exact"/>
        <w:rPr>
          <w:rFonts w:ascii="Times New Roman" w:hAnsi="Times New Roman" w:eastAsia="宋体" w:cs="Times New Roman"/>
          <w:color w:val="auto"/>
          <w:sz w:val="24"/>
          <w:highlight w:val="none"/>
        </w:rPr>
      </w:pPr>
    </w:p>
    <w:p>
      <w:pPr>
        <w:spacing w:after="200"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项目名称：  </w:t>
      </w:r>
    </w:p>
    <w:p>
      <w:pPr>
        <w:spacing w:after="200"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项目编号：</w:t>
      </w:r>
    </w:p>
    <w:tbl>
      <w:tblPr>
        <w:tblStyle w:val="25"/>
        <w:tblW w:w="9487"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2155"/>
        <w:gridCol w:w="1782"/>
        <w:gridCol w:w="187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829" w:type="dxa"/>
            <w:vAlign w:val="center"/>
          </w:tcPr>
          <w:p>
            <w:pPr>
              <w:spacing w:after="20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比选报价</w:t>
            </w:r>
          </w:p>
          <w:p>
            <w:pPr>
              <w:spacing w:after="20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（下浮率 ）</w:t>
            </w:r>
          </w:p>
        </w:tc>
        <w:tc>
          <w:tcPr>
            <w:tcW w:w="2155" w:type="dxa"/>
            <w:vAlign w:val="center"/>
          </w:tcPr>
          <w:p>
            <w:pPr>
              <w:spacing w:after="200" w:line="360" w:lineRule="auto"/>
              <w:jc w:val="center"/>
              <w:rPr>
                <w:rFonts w:asciiTheme="minorEastAsia" w:hAnsiTheme="minorEastAsia" w:cstheme="minorEastAsia"/>
                <w:color w:val="auto"/>
                <w:sz w:val="24"/>
                <w:highlight w:val="none"/>
              </w:rPr>
            </w:pPr>
            <w:r>
              <w:rPr>
                <w:rFonts w:hint="eastAsia" w:ascii="Calibri" w:hAnsi="Calibri" w:eastAsia="宋体" w:cs="Times New Roman"/>
                <w:color w:val="auto"/>
                <w:sz w:val="24"/>
                <w:szCs w:val="20"/>
                <w:highlight w:val="none"/>
                <w:lang w:val="en-US" w:eastAsia="zh-CN"/>
              </w:rPr>
              <w:t>比选</w:t>
            </w:r>
            <w:r>
              <w:rPr>
                <w:rFonts w:hint="eastAsia" w:ascii="Calibri" w:hAnsi="Calibri" w:eastAsia="宋体" w:cs="Times New Roman"/>
                <w:color w:val="auto"/>
                <w:sz w:val="24"/>
                <w:szCs w:val="20"/>
                <w:highlight w:val="none"/>
              </w:rPr>
              <w:t>保证金（元）</w:t>
            </w:r>
          </w:p>
        </w:tc>
        <w:tc>
          <w:tcPr>
            <w:tcW w:w="1782" w:type="dxa"/>
            <w:vAlign w:val="center"/>
          </w:tcPr>
          <w:p>
            <w:pPr>
              <w:spacing w:after="20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合同履行期限</w:t>
            </w:r>
          </w:p>
        </w:tc>
        <w:tc>
          <w:tcPr>
            <w:tcW w:w="1875" w:type="dxa"/>
            <w:vAlign w:val="center"/>
          </w:tcPr>
          <w:p>
            <w:pPr>
              <w:spacing w:after="20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交货时间、地点、方式</w:t>
            </w:r>
          </w:p>
        </w:tc>
        <w:tc>
          <w:tcPr>
            <w:tcW w:w="1846" w:type="dxa"/>
            <w:vAlign w:val="center"/>
          </w:tcPr>
          <w:p>
            <w:pPr>
              <w:spacing w:after="20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829" w:type="dxa"/>
            <w:vAlign w:val="center"/>
          </w:tcPr>
          <w:p>
            <w:pPr>
              <w:spacing w:after="200"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p>
        </w:tc>
        <w:tc>
          <w:tcPr>
            <w:tcW w:w="2155" w:type="dxa"/>
            <w:vAlign w:val="center"/>
          </w:tcPr>
          <w:p>
            <w:pPr>
              <w:spacing w:after="200" w:line="360" w:lineRule="auto"/>
              <w:jc w:val="left"/>
              <w:rPr>
                <w:rFonts w:asciiTheme="minorEastAsia" w:hAnsiTheme="minorEastAsia" w:cstheme="minorEastAsia"/>
                <w:color w:val="auto"/>
                <w:sz w:val="24"/>
                <w:highlight w:val="none"/>
              </w:rPr>
            </w:pPr>
          </w:p>
        </w:tc>
        <w:tc>
          <w:tcPr>
            <w:tcW w:w="1782" w:type="dxa"/>
            <w:vAlign w:val="center"/>
          </w:tcPr>
          <w:p>
            <w:pPr>
              <w:spacing w:after="200" w:line="360" w:lineRule="auto"/>
              <w:rPr>
                <w:rFonts w:asciiTheme="minorEastAsia" w:hAnsiTheme="minorEastAsia" w:cstheme="minorEastAsia"/>
                <w:color w:val="auto"/>
                <w:sz w:val="24"/>
                <w:highlight w:val="none"/>
              </w:rPr>
            </w:pPr>
          </w:p>
        </w:tc>
        <w:tc>
          <w:tcPr>
            <w:tcW w:w="1875" w:type="dxa"/>
            <w:vAlign w:val="center"/>
          </w:tcPr>
          <w:p>
            <w:pPr>
              <w:spacing w:after="200" w:line="360" w:lineRule="auto"/>
              <w:rPr>
                <w:rFonts w:asciiTheme="minorEastAsia" w:hAnsiTheme="minorEastAsia" w:cstheme="minorEastAsia"/>
                <w:color w:val="auto"/>
                <w:sz w:val="24"/>
                <w:highlight w:val="none"/>
              </w:rPr>
            </w:pPr>
          </w:p>
        </w:tc>
        <w:tc>
          <w:tcPr>
            <w:tcW w:w="1846" w:type="dxa"/>
            <w:vAlign w:val="center"/>
          </w:tcPr>
          <w:p>
            <w:pPr>
              <w:spacing w:after="200"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487" w:type="dxa"/>
            <w:gridSpan w:val="5"/>
            <w:vAlign w:val="center"/>
          </w:tcPr>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比选申请人全称（公章）：</w:t>
            </w:r>
          </w:p>
          <w:p>
            <w:pPr>
              <w:rPr>
                <w:rFonts w:ascii="Times New Roman" w:hAnsi="Times New Roman" w:eastAsia="宋体" w:cs="Times New Roman"/>
                <w:color w:val="auto"/>
                <w:sz w:val="24"/>
                <w:highlight w:val="none"/>
              </w:rPr>
            </w:pPr>
          </w:p>
          <w:p>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法定代表人或授权委托代理人（签字）：</w:t>
            </w:r>
          </w:p>
          <w:p>
            <w:pPr>
              <w:rPr>
                <w:rFonts w:ascii="Times New Roman" w:hAnsi="Times New Roman" w:eastAsia="宋体" w:cs="Times New Roman"/>
                <w:color w:val="auto"/>
                <w:sz w:val="24"/>
                <w:highlight w:val="none"/>
              </w:rPr>
            </w:pPr>
          </w:p>
          <w:p>
            <w:pPr>
              <w:spacing w:after="200" w:line="360" w:lineRule="auto"/>
              <w:rPr>
                <w:rFonts w:asciiTheme="minorEastAsia" w:hAnsiTheme="minorEastAsia" w:cstheme="minorEastAsia"/>
                <w:color w:val="auto"/>
                <w:sz w:val="24"/>
                <w:highlight w:val="none"/>
              </w:rPr>
            </w:pPr>
            <w:r>
              <w:rPr>
                <w:rFonts w:hint="eastAsia" w:ascii="Times New Roman" w:hAnsi="Times New Roman" w:eastAsia="宋体" w:cs="Times New Roman"/>
                <w:color w:val="auto"/>
                <w:sz w:val="24"/>
                <w:highlight w:val="none"/>
              </w:rPr>
              <w:t>日  期：</w:t>
            </w:r>
          </w:p>
        </w:tc>
      </w:tr>
    </w:tbl>
    <w:p>
      <w:pPr>
        <w:rPr>
          <w:color w:val="auto"/>
          <w:highlight w:val="none"/>
        </w:rPr>
      </w:pPr>
    </w:p>
    <w:p>
      <w:pPr>
        <w:spacing w:line="360" w:lineRule="auto"/>
        <w:ind w:firstLine="482" w:firstLineChars="200"/>
        <w:rPr>
          <w:rFonts w:ascii="Times New Roman" w:hAnsi="Times New Roman" w:eastAsia="宋体" w:cs="Times New Roman"/>
          <w:b/>
          <w:color w:val="auto"/>
          <w:sz w:val="32"/>
          <w:highlight w:val="none"/>
        </w:rPr>
      </w:pPr>
      <w:r>
        <w:rPr>
          <w:rFonts w:hint="eastAsia" w:ascii="宋体" w:hAnsi="宋体" w:eastAsia="宋体" w:cs="宋体"/>
          <w:b/>
          <w:color w:val="auto"/>
          <w:sz w:val="24"/>
          <w:highlight w:val="none"/>
        </w:rPr>
        <w:t>注：此表不需装入申请文件中，请自备1-2份签字、盖章后带到现场备用。</w:t>
      </w:r>
    </w:p>
    <w:p>
      <w:pPr>
        <w:pStyle w:val="24"/>
        <w:ind w:firstLine="560"/>
        <w:rPr>
          <w:color w:val="auto"/>
          <w:highlight w:val="none"/>
        </w:rPr>
      </w:pPr>
    </w:p>
    <w:bookmarkEnd w:id="352"/>
    <w:bookmarkEnd w:id="353"/>
    <w:bookmarkEnd w:id="354"/>
    <w:bookmarkEnd w:id="355"/>
    <w:bookmarkEnd w:id="356"/>
    <w:bookmarkEnd w:id="357"/>
    <w:p>
      <w:pPr>
        <w:pStyle w:val="9"/>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2Xt0c0BAACn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ijMnLD345fu3y49fl59f2Zsk&#10;Tx+woqqHQHVxuPMDLc0cRwom1kMLNn2JD6M8iXu+iquGyGS6tF6t1yWlJOVmh/CLx+sBML5V3rJk&#10;1Bzo9bKo4vQe41g6l6Ruzt9rY/ILGvdXgDDHiMorMN1OTMaJkxWH/TDR2/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2Xt0c0BAACnAwAADgAAAAAAAAABACAAAAAeAQAAZHJzL2Uy&#10;b0RvYy54bWxQSwUGAAAAAAYABgBZAQAAXQUAAAAA&#10;">
          <v:path/>
          <v:fill on="f" focussize="0,0"/>
          <v:stroke on="f" joinstyle="miter"/>
          <v:imagedata o:title=""/>
          <o:lock v:ext="edit"/>
          <v:textbox inset="0mm,0mm,0mm,0mm" style="mso-fit-shape-to-text:t;">
            <w:txbxContent>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lang w:val="zh-CN"/>
                  </w:rPr>
                  <w:fldChar w:fldCharType="end"/>
                </w:r>
              </w:p>
            </w:txbxContent>
          </v:textbox>
        </v:shape>
      </w:pict>
    </w:r>
  </w:p>
  <w:p>
    <w:pPr>
      <w:tabs>
        <w:tab w:val="center" w:pos="4497"/>
      </w:tabs>
      <w:snapToGrid w:val="0"/>
      <w:ind w:right="360"/>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仿宋_GB2312" w:hAnsi="Times New Roman" w:eastAsia="仿宋_GB2312" w:cs="仿宋_GB2312"/>
        <w:b/>
        <w:sz w:val="32"/>
        <w:szCs w:val="32"/>
      </w:rPr>
      <w:instrText xml:space="preserve">PAGE  </w:instrText>
    </w:r>
    <w:r>
      <w:rPr>
        <w:rFonts w:ascii="Times New Roman" w:hAnsi="Times New Roman" w:eastAsia="宋体" w:cs="Times New Roman"/>
        <w:sz w:val="18"/>
        <w:szCs w:val="18"/>
      </w:rPr>
      <w:fldChar w:fldCharType="separate"/>
    </w:r>
    <w:r>
      <w:rPr>
        <w:rFonts w:ascii="仿宋_GB2312" w:hAnsi="Times New Roman" w:eastAsia="仿宋_GB2312" w:cs="仿宋_GB2312"/>
        <w:b/>
        <w:sz w:val="32"/>
        <w:szCs w:val="32"/>
      </w:rPr>
      <w:t>1</w:t>
    </w:r>
    <w:r>
      <w:rPr>
        <w:rFonts w:ascii="Times New Roman" w:hAnsi="Times New Roman" w:eastAsia="宋体" w:cs="Times New Roman"/>
        <w:sz w:val="18"/>
        <w:szCs w:val="18"/>
      </w:rPr>
      <w:fldChar w:fldCharType="end"/>
    </w:r>
  </w:p>
  <w:p>
    <w:pPr>
      <w:tabs>
        <w:tab w:val="center" w:pos="4153"/>
        <w:tab w:val="right" w:pos="8306"/>
      </w:tabs>
      <w:snapToGrid w:val="0"/>
      <w:ind w:right="360"/>
      <w:jc w:val="left"/>
      <w:rPr>
        <w:rFonts w:ascii="Times New Roman" w:hAnsi="Times New Roman" w:eastAsia="宋体" w:cs="Times New Roman"/>
        <w:szCs w:val="18"/>
      </w:rPr>
    </w:pPr>
    <w:r>
      <w:rPr>
        <w:rFonts w:ascii="Times New Roman" w:hAnsi="Times New Roman" w:eastAsia="宋体" w:cs="Times New Roman"/>
        <w:sz w:val="18"/>
        <w:szCs w:val="18"/>
      </w:rPr>
      <w:pict>
        <v:shape id="文本框 1026" o:spid="_x0000_s1030"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bQkGzQAAAAAgEAAA8AAAAAAAAAAQAgAAAAIgAAAGRy&#10;cy9kb3ducmV2LnhtbFBLAQIUABQAAAAIAIdO4kA9ICVg1AEAAKcDAAAOAAAAAAAAAAEAIAAAAB8B&#10;AABkcnMvZTJvRG9jLnhtbFBLBQYAAAAABgAGAFkBAABlBQAAAAA=&#10;">
          <v:path/>
          <v:fill on="f" focussize="0,0"/>
          <v:stroke on="f" joinstyle="miter"/>
          <v:imagedata o:title=""/>
          <o:lock v:ext="edit"/>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仿宋_GB2312" w:hAnsi="Times New Roman" w:eastAsia="仿宋_GB2312" w:cs="仿宋_GB2312"/>
                    <w:b/>
                    <w:sz w:val="32"/>
                    <w:szCs w:val="32"/>
                  </w:rPr>
                  <w:instrText xml:space="preserve">PAGE  </w:instrText>
                </w:r>
                <w:r>
                  <w:rPr>
                    <w:rFonts w:ascii="Times New Roman" w:hAnsi="Times New Roman" w:eastAsia="宋体" w:cs="Times New Roman"/>
                    <w:sz w:val="18"/>
                    <w:szCs w:val="18"/>
                  </w:rPr>
                  <w:fldChar w:fldCharType="separate"/>
                </w:r>
                <w:r>
                  <w:rPr>
                    <w:rFonts w:ascii="仿宋_GB2312" w:hAnsi="Times New Roman" w:eastAsia="仿宋_GB2312" w:cs="仿宋_GB2312"/>
                    <w:b/>
                    <w:sz w:val="32"/>
                    <w:szCs w:val="32"/>
                  </w:rPr>
                  <w:t>1</w:t>
                </w:r>
                <w:r>
                  <w:rPr>
                    <w:rFonts w:ascii="Times New Roman" w:hAnsi="Times New Roman" w:eastAsia="宋体" w:cs="Times New Roman"/>
                    <w:sz w:val="18"/>
                    <w:szCs w:val="18"/>
                  </w:rPr>
                  <w:fldChar w:fldCharType="end"/>
                </w:r>
              </w:p>
            </w:txbxContent>
          </v:textbox>
          <w10:wrap type="square"/>
        </v:shape>
      </w:pict>
    </w:r>
    <w:r>
      <w:rPr>
        <w:rFonts w:ascii="Times New Roman" w:hAnsi="Times New Roman" w:eastAsia="宋体" w:cs="Times New Roman"/>
        <w:sz w:val="18"/>
        <w:szCs w:val="18"/>
      </w:rPr>
      <w:pict>
        <v:shape id="文本框 1027" o:spid="_x0000_s1029" o:spt="202" type="#_x0000_t202" style="position:absolute;left:0pt;margin-top:0pt;height:13.6pt;width:10.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KrLlHPAAAAAwEAAA8AAAAAAAAAAQAgAAAAIgAAAGRy&#10;cy9kb3ducmV2LnhtbFBLAQIUABQAAAAIAIdO4kDp/zYM1QEAAKgDAAAOAAAAAAAAAAEAIAAAAB4B&#10;AABkcnMvZTJvRG9jLnhtbFBLBQYAAAAABgAGAFkBAABlBQAAAAA=&#10;">
          <v:path/>
          <v:fill on="f" focussize="0,0"/>
          <v:stroke on="f" joinstyle="miter"/>
          <v:imagedata o:title=""/>
          <o:lock v:ext="edit"/>
          <v:textbox inset="0mm,0mm,0mm,0mm" style="mso-fit-shape-to-text:t;">
            <w:txbxContent>
              <w:p>
                <w:pPr>
                  <w:tabs>
                    <w:tab w:val="center" w:pos="4153"/>
                    <w:tab w:val="right" w:pos="8306"/>
                  </w:tabs>
                  <w:snapToGrid w:val="0"/>
                  <w:jc w:val="left"/>
                  <w:rPr>
                    <w:rFonts w:ascii="Times New Roman" w:hAnsi="Times New Roman" w:eastAsia="宋体" w:cs="Times New Roman"/>
                    <w:szCs w:val="18"/>
                  </w:rPr>
                </w:pPr>
                <w:r>
                  <w:rPr>
                    <w:rFonts w:ascii="Times New Roman" w:hAnsi="Times New Roman" w:eastAsia="宋体" w:cs="Times New Roman"/>
                    <w:szCs w:val="18"/>
                  </w:rPr>
                  <w:fldChar w:fldCharType="begin"/>
                </w:r>
                <w:r>
                  <w:rPr>
                    <w:rFonts w:ascii="仿宋_GB2312" w:hAnsi="Times New Roman" w:eastAsia="仿宋_GB2312" w:cs="仿宋_GB2312"/>
                    <w:b/>
                    <w:szCs w:val="32"/>
                  </w:rPr>
                  <w:instrText xml:space="preserve">PAGE  </w:instrText>
                </w:r>
                <w:r>
                  <w:rPr>
                    <w:rFonts w:ascii="Times New Roman" w:hAnsi="Times New Roman" w:eastAsia="宋体" w:cs="Times New Roman"/>
                    <w:szCs w:val="18"/>
                  </w:rPr>
                  <w:fldChar w:fldCharType="separate"/>
                </w:r>
                <w:r>
                  <w:rPr>
                    <w:rFonts w:ascii="仿宋_GB2312" w:hAnsi="Times New Roman" w:eastAsia="仿宋_GB2312" w:cs="仿宋_GB2312"/>
                    <w:b/>
                    <w:szCs w:val="32"/>
                  </w:rPr>
                  <w:t>1</w:t>
                </w:r>
                <w:r>
                  <w:rPr>
                    <w:rFonts w:ascii="Times New Roman" w:hAnsi="Times New Roman" w:eastAsia="宋体" w:cs="Times New Roman"/>
                    <w:szCs w:val="18"/>
                  </w:rPr>
                  <w:fldChar w:fldCharType="end"/>
                </w:r>
              </w:p>
            </w:txbxContent>
          </v:textbox>
          <w10:wrap type="squar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1pt;width:4.6pt;mso-position-horizontal:center;mso-position-horizontal-relative:margin;mso-wrap-style:none;z-index:25166438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jc w:val="center"/>
      <w:rPr>
        <w:rFonts w:ascii="Times New Roman" w:hAnsi="Times New Roman" w:eastAsia="宋体" w:cs="Times New Roman"/>
        <w:sz w:val="18"/>
        <w:szCs w:val="18"/>
      </w:rPr>
    </w:pPr>
    <w:r>
      <w:rPr>
        <w:rFonts w:ascii="Times New Roman" w:hAnsi="Times New Roman" w:eastAsia="宋体" w:cs="Times New Roman"/>
        <w:sz w:val="18"/>
        <w:szCs w:val="18"/>
      </w:rPr>
      <w:pict>
        <v:shape id="文本框 8" o:spid="_x0000_s1028"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&#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m2gV0QAAAAMBAAAPAAAAAAAAAAEAIAAAACIAAABk&#10;cnMvZG93bnJldi54bWxQSwECFAAUAAAACACHTuJAg1HeSNQBAAClAwAADgAAAAAAAAABACAAAAAg&#10;AQAAZHJzL2Uyb0RvYy54bWxQSwUGAAAAAAYABgBZAQAAZgUAAAAA&#10;">
          <v:path/>
          <v:fill on="f" focussize="0,0"/>
          <v:stroke on="f" joinstyle="miter"/>
          <v:imagedata o:title=""/>
          <o:lock v:ext="edit"/>
          <v:textbox inset="0mm,0mm,0mm,0mm" style="mso-fit-shape-to-text:t;">
            <w:txbxContent>
              <w:p>
                <w:pPr>
                  <w:tabs>
                    <w:tab w:val="center" w:pos="4153"/>
                    <w:tab w:val="right" w:pos="8306"/>
                  </w:tabs>
                  <w:snapToGrid w:val="0"/>
                  <w:ind w:right="36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b/>
                    <w:sz w:val="18"/>
                    <w:szCs w:val="18"/>
                  </w:rPr>
                  <w:instrText xml:space="preserve"> PAGE  \* Arabic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b/>
                    <w:sz w:val="18"/>
                    <w:szCs w:val="18"/>
                  </w:rPr>
                  <w:t>66</w:t>
                </w:r>
                <w:r>
                  <w:rPr>
                    <w:rFonts w:ascii="Times New Roman" w:hAnsi="Times New Roman" w:eastAsia="宋体" w:cs="Times New Roman"/>
                    <w:sz w:val="18"/>
                    <w:szCs w:val="18"/>
                  </w:rPr>
                  <w:fldChar w:fldCharType="end"/>
                </w:r>
              </w:p>
            </w:txbxContent>
          </v:textbox>
        </v:shape>
      </w:pict>
    </w:r>
    <w:r>
      <w:rPr>
        <w:rFonts w:ascii="Times New Roman" w:hAnsi="Times New Roman" w:eastAsia="宋体" w:cs="Times New Roman"/>
        <w:sz w:val="18"/>
        <w:szCs w:val="18"/>
      </w:rPr>
      <w:pict>
        <v:shape id="文本框 1028" o:spid="_x0000_s1027" o:spt="202" type="#_x0000_t202" style="position:absolute;left:0pt;margin-left:0pt;margin-top:2.05pt;height:17.4pt;width:11.1pt;mso-position-horizontal-relative:margin;mso-wrap-distance-bottom:0pt;mso-wrap-distance-left:0pt;mso-wrap-distance-right:0pt;mso-wrap-distance-top:0pt;z-index:251663360;mso-width-relative:page;mso-height-relative:page;" filled="f" stroked="f" coordsize="21600,21600" o:gfxdata="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yk4N1AAAAAQBAAAPAAAAAAAAAAEAIAAAACIAAABkcnMvZG93bnJldi54bWxQSwEC&#10;FAAUAAAACACHTuJAlDbRur8BAACCAwAADgAAAAAAAAABACAAAAAjAQAAZHJzL2Uyb0RvYy54bWxQ&#10;SwUGAAAAAAYABgBZAQAAVAUAAAAA&#10;">
          <v:path/>
          <v:fill on="f" focussize="0,0"/>
          <v:stroke on="f" joinstyle="miter"/>
          <v:imagedata o:title=""/>
          <o:lock v:ext="edit"/>
          <v:textbox inset="0mm,0mm,0mm,0mm">
            <w:txbxContent>
              <w:p>
                <w:pPr>
                  <w:tabs>
                    <w:tab w:val="center" w:pos="4153"/>
                    <w:tab w:val="right" w:pos="8306"/>
                  </w:tabs>
                  <w:snapToGrid w:val="0"/>
                  <w:jc w:val="left"/>
                  <w:rPr>
                    <w:rFonts w:ascii="Times New Roman" w:hAnsi="Times New Roman" w:eastAsia="宋体" w:cs="Times New Roman"/>
                    <w:sz w:val="18"/>
                    <w:szCs w:val="18"/>
                  </w:rPr>
                </w:pP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Times New Roman" w:hAnsi="Times New Roman" w:eastAsia="宋体" w:cs="Times New Roman"/>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052F7"/>
    <w:multiLevelType w:val="multilevel"/>
    <w:tmpl w:val="87F052F7"/>
    <w:lvl w:ilvl="0" w:tentative="0">
      <w:start w:val="1"/>
      <w:numFmt w:val="decimal"/>
      <w:suff w:val="nothing"/>
      <w:lvlText w:val="第 %1 章 "/>
      <w:lvlJc w:val="center"/>
      <w:pPr>
        <w:tabs>
          <w:tab w:val="left" w:pos="0"/>
        </w:tabs>
        <w:ind w:left="0" w:firstLine="420"/>
      </w:pPr>
      <w:rPr>
        <w:rFonts w:hint="default" w:ascii="Times New Roman" w:hAnsi="Times New Roman" w:eastAsia="黑体" w:cs="黑体"/>
        <w:sz w:val="32"/>
        <w:szCs w:val="32"/>
      </w:rPr>
    </w:lvl>
    <w:lvl w:ilvl="1" w:tentative="0">
      <w:start w:val="1"/>
      <w:numFmt w:val="decimal"/>
      <w:isLgl/>
      <w:suff w:val="space"/>
      <w:lvlText w:val="%1.%2"/>
      <w:lvlJc w:val="left"/>
      <w:pPr>
        <w:tabs>
          <w:tab w:val="left" w:pos="420"/>
        </w:tabs>
        <w:ind w:left="0" w:firstLine="0"/>
      </w:pPr>
      <w:rPr>
        <w:rFonts w:hint="default" w:ascii="宋体" w:hAnsi="宋体" w:eastAsia="宋体" w:cs="宋体"/>
      </w:rPr>
    </w:lvl>
    <w:lvl w:ilvl="2" w:tentative="0">
      <w:start w:val="1"/>
      <w:numFmt w:val="decimal"/>
      <w:pStyle w:val="6"/>
      <w:isLgl/>
      <w:suff w:val="space"/>
      <w:lvlText w:val="%1.%2.%3"/>
      <w:lvlJc w:val="left"/>
      <w:pPr>
        <w:tabs>
          <w:tab w:val="left" w:pos="0"/>
        </w:tabs>
        <w:ind w:left="720" w:hanging="720"/>
      </w:pPr>
      <w:rPr>
        <w:rFonts w:hint="default" w:ascii="宋体" w:hAnsi="宋体" w:eastAsia="宋体" w:cs="宋体"/>
        <w:sz w:val="28"/>
        <w:szCs w:val="28"/>
      </w:rPr>
    </w:lvl>
    <w:lvl w:ilvl="3" w:tentative="0">
      <w:start w:val="1"/>
      <w:numFmt w:val="decimal"/>
      <w:isLgl/>
      <w:suff w:val="space"/>
      <w:lvlText w:val="%1.%2.%3.%4"/>
      <w:lvlJc w:val="left"/>
      <w:pPr>
        <w:tabs>
          <w:tab w:val="left" w:pos="420"/>
        </w:tabs>
        <w:ind w:left="0" w:firstLine="0"/>
      </w:pPr>
      <w:rPr>
        <w:rFonts w:hint="default" w:ascii="宋体" w:hAnsi="宋体" w:eastAsia="宋体" w:cs="宋体"/>
        <w:sz w:val="24"/>
        <w:szCs w:val="24"/>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9844EDD4"/>
    <w:multiLevelType w:val="singleLevel"/>
    <w:tmpl w:val="9844EDD4"/>
    <w:lvl w:ilvl="0" w:tentative="0">
      <w:start w:val="1"/>
      <w:numFmt w:val="decimal"/>
      <w:suff w:val="nothing"/>
      <w:lvlText w:val="%1．"/>
      <w:lvlJc w:val="left"/>
      <w:pPr>
        <w:ind w:left="0" w:firstLine="400"/>
      </w:pPr>
      <w:rPr>
        <w:rFonts w:hint="default"/>
      </w:rPr>
    </w:lvl>
  </w:abstractNum>
  <w:abstractNum w:abstractNumId="2">
    <w:nsid w:val="BA5E6ABB"/>
    <w:multiLevelType w:val="singleLevel"/>
    <w:tmpl w:val="BA5E6ABB"/>
    <w:lvl w:ilvl="0" w:tentative="0">
      <w:start w:val="3"/>
      <w:numFmt w:val="chineseCounting"/>
      <w:suff w:val="space"/>
      <w:lvlText w:val="第%1章"/>
      <w:lvlJc w:val="left"/>
      <w:rPr>
        <w:rFonts w:hint="eastAsia"/>
      </w:rPr>
    </w:lvl>
  </w:abstractNum>
  <w:abstractNum w:abstractNumId="3">
    <w:nsid w:val="241E4EA4"/>
    <w:multiLevelType w:val="multilevel"/>
    <w:tmpl w:val="241E4EA4"/>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331A3B1A"/>
    <w:multiLevelType w:val="multilevel"/>
    <w:tmpl w:val="331A3B1A"/>
    <w:lvl w:ilvl="0" w:tentative="0">
      <w:start w:val="1"/>
      <w:numFmt w:val="decimal"/>
      <w:lvlText w:val="%1、"/>
      <w:lvlJc w:val="left"/>
      <w:pPr>
        <w:ind w:left="1157" w:hanging="720"/>
      </w:pPr>
      <w:rPr>
        <w:rFonts w:hint="default"/>
      </w:rPr>
    </w:lvl>
    <w:lvl w:ilvl="1" w:tentative="0">
      <w:start w:val="1"/>
      <w:numFmt w:val="lowerLetter"/>
      <w:lvlText w:val="%2)"/>
      <w:lvlJc w:val="left"/>
      <w:pPr>
        <w:ind w:left="1277" w:hanging="420"/>
      </w:pPr>
    </w:lvl>
    <w:lvl w:ilvl="2" w:tentative="0">
      <w:start w:val="1"/>
      <w:numFmt w:val="lowerRoman"/>
      <w:lvlText w:val="%3."/>
      <w:lvlJc w:val="right"/>
      <w:pPr>
        <w:ind w:left="1697" w:hanging="420"/>
      </w:pPr>
    </w:lvl>
    <w:lvl w:ilvl="3" w:tentative="0">
      <w:start w:val="1"/>
      <w:numFmt w:val="decimal"/>
      <w:lvlText w:val="%4."/>
      <w:lvlJc w:val="left"/>
      <w:pPr>
        <w:ind w:left="2117" w:hanging="420"/>
      </w:pPr>
    </w:lvl>
    <w:lvl w:ilvl="4" w:tentative="0">
      <w:start w:val="1"/>
      <w:numFmt w:val="lowerLetter"/>
      <w:lvlText w:val="%5)"/>
      <w:lvlJc w:val="left"/>
      <w:pPr>
        <w:ind w:left="2537" w:hanging="420"/>
      </w:pPr>
    </w:lvl>
    <w:lvl w:ilvl="5" w:tentative="0">
      <w:start w:val="1"/>
      <w:numFmt w:val="lowerRoman"/>
      <w:lvlText w:val="%6."/>
      <w:lvlJc w:val="right"/>
      <w:pPr>
        <w:ind w:left="2957" w:hanging="420"/>
      </w:pPr>
    </w:lvl>
    <w:lvl w:ilvl="6" w:tentative="0">
      <w:start w:val="1"/>
      <w:numFmt w:val="decimal"/>
      <w:lvlText w:val="%7."/>
      <w:lvlJc w:val="left"/>
      <w:pPr>
        <w:ind w:left="3377" w:hanging="420"/>
      </w:pPr>
    </w:lvl>
    <w:lvl w:ilvl="7" w:tentative="0">
      <w:start w:val="1"/>
      <w:numFmt w:val="lowerLetter"/>
      <w:lvlText w:val="%8)"/>
      <w:lvlJc w:val="left"/>
      <w:pPr>
        <w:ind w:left="3797" w:hanging="420"/>
      </w:pPr>
    </w:lvl>
    <w:lvl w:ilvl="8" w:tentative="0">
      <w:start w:val="1"/>
      <w:numFmt w:val="lowerRoman"/>
      <w:lvlText w:val="%9."/>
      <w:lvlJc w:val="right"/>
      <w:pPr>
        <w:ind w:left="4217" w:hanging="420"/>
      </w:pPr>
    </w:lvl>
  </w:abstractNum>
  <w:abstractNum w:abstractNumId="5">
    <w:nsid w:val="5550CE73"/>
    <w:multiLevelType w:val="singleLevel"/>
    <w:tmpl w:val="5550CE73"/>
    <w:lvl w:ilvl="0" w:tentative="0">
      <w:start w:val="1"/>
      <w:numFmt w:val="bullet"/>
      <w:pStyle w:val="12"/>
      <w:lvlText w:val=""/>
      <w:lvlJc w:val="left"/>
      <w:pPr>
        <w:tabs>
          <w:tab w:val="left" w:pos="780"/>
        </w:tabs>
        <w:ind w:left="780" w:hanging="360"/>
      </w:pPr>
      <w:rPr>
        <w:rFonts w:hint="default" w:ascii="Wingdings" w:hAnsi="Wingdings"/>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EzYjg2MWNmNmI5Y2Q1MjE2MDI2YTg0NzZlY2Y2OGEifQ=="/>
  </w:docVars>
  <w:rsids>
    <w:rsidRoot w:val="338D3C09"/>
    <w:rsid w:val="00013654"/>
    <w:rsid w:val="00043144"/>
    <w:rsid w:val="00092614"/>
    <w:rsid w:val="000C3A54"/>
    <w:rsid w:val="000C3DA7"/>
    <w:rsid w:val="000E0CE9"/>
    <w:rsid w:val="000E3DA0"/>
    <w:rsid w:val="001166C2"/>
    <w:rsid w:val="00145218"/>
    <w:rsid w:val="001621D6"/>
    <w:rsid w:val="00166AF2"/>
    <w:rsid w:val="00177A33"/>
    <w:rsid w:val="00197A0D"/>
    <w:rsid w:val="001A78A4"/>
    <w:rsid w:val="001B5391"/>
    <w:rsid w:val="001D6424"/>
    <w:rsid w:val="001F3820"/>
    <w:rsid w:val="00205E6C"/>
    <w:rsid w:val="00221904"/>
    <w:rsid w:val="00237A6E"/>
    <w:rsid w:val="00244E03"/>
    <w:rsid w:val="00261D2A"/>
    <w:rsid w:val="0026416A"/>
    <w:rsid w:val="002766B9"/>
    <w:rsid w:val="002E587E"/>
    <w:rsid w:val="002E7613"/>
    <w:rsid w:val="002F0343"/>
    <w:rsid w:val="002F719B"/>
    <w:rsid w:val="0032456A"/>
    <w:rsid w:val="00365F63"/>
    <w:rsid w:val="00376A0F"/>
    <w:rsid w:val="003A3EC9"/>
    <w:rsid w:val="003B4943"/>
    <w:rsid w:val="00411CA3"/>
    <w:rsid w:val="0042571C"/>
    <w:rsid w:val="0042690A"/>
    <w:rsid w:val="004710B0"/>
    <w:rsid w:val="004871F5"/>
    <w:rsid w:val="00491352"/>
    <w:rsid w:val="004B0D73"/>
    <w:rsid w:val="004B0DD5"/>
    <w:rsid w:val="00547B02"/>
    <w:rsid w:val="00577CFC"/>
    <w:rsid w:val="005943AA"/>
    <w:rsid w:val="005A4CEE"/>
    <w:rsid w:val="00656481"/>
    <w:rsid w:val="0069441A"/>
    <w:rsid w:val="006E7958"/>
    <w:rsid w:val="00702069"/>
    <w:rsid w:val="00703135"/>
    <w:rsid w:val="007511BD"/>
    <w:rsid w:val="00760DF0"/>
    <w:rsid w:val="00784DFC"/>
    <w:rsid w:val="007C2FEE"/>
    <w:rsid w:val="008131EC"/>
    <w:rsid w:val="00846793"/>
    <w:rsid w:val="00871B53"/>
    <w:rsid w:val="00902C2A"/>
    <w:rsid w:val="00922528"/>
    <w:rsid w:val="00942756"/>
    <w:rsid w:val="00942D68"/>
    <w:rsid w:val="0094337F"/>
    <w:rsid w:val="009543B7"/>
    <w:rsid w:val="00985AC3"/>
    <w:rsid w:val="009A638F"/>
    <w:rsid w:val="009D1717"/>
    <w:rsid w:val="009D1E87"/>
    <w:rsid w:val="00A046E4"/>
    <w:rsid w:val="00A21D7E"/>
    <w:rsid w:val="00A93ADB"/>
    <w:rsid w:val="00AB7A64"/>
    <w:rsid w:val="00AE179E"/>
    <w:rsid w:val="00AF4FD3"/>
    <w:rsid w:val="00B72021"/>
    <w:rsid w:val="00BA3ABC"/>
    <w:rsid w:val="00BE52A3"/>
    <w:rsid w:val="00C401FF"/>
    <w:rsid w:val="00C75A54"/>
    <w:rsid w:val="00C9437F"/>
    <w:rsid w:val="00CB6710"/>
    <w:rsid w:val="00CD5EC2"/>
    <w:rsid w:val="00CE390C"/>
    <w:rsid w:val="00CF3BC4"/>
    <w:rsid w:val="00D064B6"/>
    <w:rsid w:val="00D44E43"/>
    <w:rsid w:val="00D6402D"/>
    <w:rsid w:val="00D77D34"/>
    <w:rsid w:val="00DE72E7"/>
    <w:rsid w:val="00DF3365"/>
    <w:rsid w:val="00DF668D"/>
    <w:rsid w:val="00DF7160"/>
    <w:rsid w:val="00E536C6"/>
    <w:rsid w:val="00E74496"/>
    <w:rsid w:val="00E92BF6"/>
    <w:rsid w:val="00F16214"/>
    <w:rsid w:val="00F65AA6"/>
    <w:rsid w:val="00FF74A6"/>
    <w:rsid w:val="01004F70"/>
    <w:rsid w:val="01251E99"/>
    <w:rsid w:val="014211D7"/>
    <w:rsid w:val="014F2DC0"/>
    <w:rsid w:val="014F7DD5"/>
    <w:rsid w:val="015275B6"/>
    <w:rsid w:val="015B5A28"/>
    <w:rsid w:val="015E4AD6"/>
    <w:rsid w:val="015F762C"/>
    <w:rsid w:val="016F408E"/>
    <w:rsid w:val="018133FF"/>
    <w:rsid w:val="01A4259A"/>
    <w:rsid w:val="01A52705"/>
    <w:rsid w:val="01B7755A"/>
    <w:rsid w:val="01BA2596"/>
    <w:rsid w:val="01BD28AB"/>
    <w:rsid w:val="01D1660C"/>
    <w:rsid w:val="01DE4BA3"/>
    <w:rsid w:val="01E35F07"/>
    <w:rsid w:val="01EA4AB6"/>
    <w:rsid w:val="01EF6693"/>
    <w:rsid w:val="01F37E0F"/>
    <w:rsid w:val="01F952D5"/>
    <w:rsid w:val="01FF4B87"/>
    <w:rsid w:val="021F4265"/>
    <w:rsid w:val="022F73C3"/>
    <w:rsid w:val="02300221"/>
    <w:rsid w:val="023870D5"/>
    <w:rsid w:val="023F0464"/>
    <w:rsid w:val="02402B4B"/>
    <w:rsid w:val="024110A5"/>
    <w:rsid w:val="024119BF"/>
    <w:rsid w:val="024D4A7D"/>
    <w:rsid w:val="024F3740"/>
    <w:rsid w:val="027A5A22"/>
    <w:rsid w:val="027E2898"/>
    <w:rsid w:val="029A742D"/>
    <w:rsid w:val="029E79FB"/>
    <w:rsid w:val="02A3261D"/>
    <w:rsid w:val="02A46B62"/>
    <w:rsid w:val="02AD764B"/>
    <w:rsid w:val="02B072EB"/>
    <w:rsid w:val="02C30210"/>
    <w:rsid w:val="02D73510"/>
    <w:rsid w:val="02E828A9"/>
    <w:rsid w:val="02E856EB"/>
    <w:rsid w:val="03085DD0"/>
    <w:rsid w:val="030B199A"/>
    <w:rsid w:val="030D2267"/>
    <w:rsid w:val="03100052"/>
    <w:rsid w:val="03125B78"/>
    <w:rsid w:val="03143BD1"/>
    <w:rsid w:val="033A2A0D"/>
    <w:rsid w:val="03457CFC"/>
    <w:rsid w:val="035166A0"/>
    <w:rsid w:val="036607C0"/>
    <w:rsid w:val="036734CF"/>
    <w:rsid w:val="037339E3"/>
    <w:rsid w:val="03801059"/>
    <w:rsid w:val="03877430"/>
    <w:rsid w:val="039B3227"/>
    <w:rsid w:val="03A42144"/>
    <w:rsid w:val="03B17ED2"/>
    <w:rsid w:val="03B727D7"/>
    <w:rsid w:val="03C42CC6"/>
    <w:rsid w:val="03D70271"/>
    <w:rsid w:val="03D93C7C"/>
    <w:rsid w:val="03E34633"/>
    <w:rsid w:val="03EA48BD"/>
    <w:rsid w:val="03F61164"/>
    <w:rsid w:val="03F95652"/>
    <w:rsid w:val="03FA35B4"/>
    <w:rsid w:val="03FE11F3"/>
    <w:rsid w:val="04011D9C"/>
    <w:rsid w:val="0402799B"/>
    <w:rsid w:val="040D4DA7"/>
    <w:rsid w:val="04162D62"/>
    <w:rsid w:val="0425296F"/>
    <w:rsid w:val="042C0EBC"/>
    <w:rsid w:val="04474819"/>
    <w:rsid w:val="045A355B"/>
    <w:rsid w:val="04657F2A"/>
    <w:rsid w:val="04673CA2"/>
    <w:rsid w:val="04806B11"/>
    <w:rsid w:val="04934A97"/>
    <w:rsid w:val="049A419F"/>
    <w:rsid w:val="04A362D9"/>
    <w:rsid w:val="04A930A7"/>
    <w:rsid w:val="04C06A86"/>
    <w:rsid w:val="04C37E56"/>
    <w:rsid w:val="04CC22A6"/>
    <w:rsid w:val="04D330E5"/>
    <w:rsid w:val="04D50706"/>
    <w:rsid w:val="04D92030"/>
    <w:rsid w:val="04DC5757"/>
    <w:rsid w:val="04EE4C43"/>
    <w:rsid w:val="04F225EE"/>
    <w:rsid w:val="04FB5FB2"/>
    <w:rsid w:val="04FE63B4"/>
    <w:rsid w:val="050671D6"/>
    <w:rsid w:val="050B287F"/>
    <w:rsid w:val="050E558B"/>
    <w:rsid w:val="051E5497"/>
    <w:rsid w:val="051F05CD"/>
    <w:rsid w:val="0531758E"/>
    <w:rsid w:val="05483AD3"/>
    <w:rsid w:val="054B6E70"/>
    <w:rsid w:val="054F1F1D"/>
    <w:rsid w:val="055B3523"/>
    <w:rsid w:val="05613043"/>
    <w:rsid w:val="0588312A"/>
    <w:rsid w:val="05A94AB8"/>
    <w:rsid w:val="05B13426"/>
    <w:rsid w:val="05D46A7F"/>
    <w:rsid w:val="05DE4605"/>
    <w:rsid w:val="05EC41D4"/>
    <w:rsid w:val="0607245B"/>
    <w:rsid w:val="060E748D"/>
    <w:rsid w:val="06164031"/>
    <w:rsid w:val="06191786"/>
    <w:rsid w:val="061A500F"/>
    <w:rsid w:val="061B2F96"/>
    <w:rsid w:val="06290AFB"/>
    <w:rsid w:val="063D218F"/>
    <w:rsid w:val="06484BAE"/>
    <w:rsid w:val="064D67D9"/>
    <w:rsid w:val="06577474"/>
    <w:rsid w:val="06720DD3"/>
    <w:rsid w:val="06750CDE"/>
    <w:rsid w:val="067A7CBC"/>
    <w:rsid w:val="068255E4"/>
    <w:rsid w:val="068D4D60"/>
    <w:rsid w:val="0697042D"/>
    <w:rsid w:val="06A44E95"/>
    <w:rsid w:val="06A845CE"/>
    <w:rsid w:val="06C42B1D"/>
    <w:rsid w:val="06C65ADC"/>
    <w:rsid w:val="06CB49BC"/>
    <w:rsid w:val="06D02705"/>
    <w:rsid w:val="06EC66E0"/>
    <w:rsid w:val="06F91055"/>
    <w:rsid w:val="070C28DE"/>
    <w:rsid w:val="07144599"/>
    <w:rsid w:val="072B079D"/>
    <w:rsid w:val="07353D1F"/>
    <w:rsid w:val="073625C3"/>
    <w:rsid w:val="07437455"/>
    <w:rsid w:val="074829FD"/>
    <w:rsid w:val="07504EC1"/>
    <w:rsid w:val="07536A7F"/>
    <w:rsid w:val="0754369F"/>
    <w:rsid w:val="075E5243"/>
    <w:rsid w:val="07610E7C"/>
    <w:rsid w:val="07686EDA"/>
    <w:rsid w:val="076C429A"/>
    <w:rsid w:val="07773A6B"/>
    <w:rsid w:val="07872474"/>
    <w:rsid w:val="07890F47"/>
    <w:rsid w:val="079A613C"/>
    <w:rsid w:val="079D03AF"/>
    <w:rsid w:val="07A53C5D"/>
    <w:rsid w:val="07AD2313"/>
    <w:rsid w:val="07CA3322"/>
    <w:rsid w:val="07D16002"/>
    <w:rsid w:val="07D97B6D"/>
    <w:rsid w:val="07DC487E"/>
    <w:rsid w:val="07DE7BEC"/>
    <w:rsid w:val="07DF2D43"/>
    <w:rsid w:val="07E35D35"/>
    <w:rsid w:val="0801278C"/>
    <w:rsid w:val="080C56CF"/>
    <w:rsid w:val="08114679"/>
    <w:rsid w:val="081B102B"/>
    <w:rsid w:val="08221400"/>
    <w:rsid w:val="08293C0D"/>
    <w:rsid w:val="0835400B"/>
    <w:rsid w:val="08510EF1"/>
    <w:rsid w:val="08661E21"/>
    <w:rsid w:val="086716DD"/>
    <w:rsid w:val="086A641E"/>
    <w:rsid w:val="0874698D"/>
    <w:rsid w:val="087846CF"/>
    <w:rsid w:val="08874912"/>
    <w:rsid w:val="08945512"/>
    <w:rsid w:val="089874B3"/>
    <w:rsid w:val="089E3A0A"/>
    <w:rsid w:val="08A87477"/>
    <w:rsid w:val="08AE00F1"/>
    <w:rsid w:val="08C42D09"/>
    <w:rsid w:val="08C714CE"/>
    <w:rsid w:val="08C97A1E"/>
    <w:rsid w:val="08E33BFA"/>
    <w:rsid w:val="08E526FC"/>
    <w:rsid w:val="090048DC"/>
    <w:rsid w:val="09017772"/>
    <w:rsid w:val="09093579"/>
    <w:rsid w:val="09094614"/>
    <w:rsid w:val="09137F54"/>
    <w:rsid w:val="091F455E"/>
    <w:rsid w:val="09376408"/>
    <w:rsid w:val="093E2345"/>
    <w:rsid w:val="094D5BFC"/>
    <w:rsid w:val="095C7DBD"/>
    <w:rsid w:val="096609CC"/>
    <w:rsid w:val="096D3B08"/>
    <w:rsid w:val="096D7F56"/>
    <w:rsid w:val="09776735"/>
    <w:rsid w:val="09815EC8"/>
    <w:rsid w:val="09860F8E"/>
    <w:rsid w:val="098A5D52"/>
    <w:rsid w:val="099B2D17"/>
    <w:rsid w:val="09A339CE"/>
    <w:rsid w:val="09AB5AC4"/>
    <w:rsid w:val="09B25E04"/>
    <w:rsid w:val="09BA0591"/>
    <w:rsid w:val="09D44961"/>
    <w:rsid w:val="09DC7F62"/>
    <w:rsid w:val="09DE0562"/>
    <w:rsid w:val="09E10F9C"/>
    <w:rsid w:val="09E33BDC"/>
    <w:rsid w:val="09ED3F62"/>
    <w:rsid w:val="0A1621A6"/>
    <w:rsid w:val="0A5B13F8"/>
    <w:rsid w:val="0A762E91"/>
    <w:rsid w:val="0A7B04A7"/>
    <w:rsid w:val="0A7E3D93"/>
    <w:rsid w:val="0A960E3D"/>
    <w:rsid w:val="0AA6074F"/>
    <w:rsid w:val="0AA73804"/>
    <w:rsid w:val="0AA96DC2"/>
    <w:rsid w:val="0AB81C23"/>
    <w:rsid w:val="0ABC5BC4"/>
    <w:rsid w:val="0AC57BE3"/>
    <w:rsid w:val="0AC934BA"/>
    <w:rsid w:val="0ADA3EC4"/>
    <w:rsid w:val="0ADB2567"/>
    <w:rsid w:val="0AEC6920"/>
    <w:rsid w:val="0AF64488"/>
    <w:rsid w:val="0B0052A5"/>
    <w:rsid w:val="0B041A9B"/>
    <w:rsid w:val="0B077418"/>
    <w:rsid w:val="0B12728F"/>
    <w:rsid w:val="0B1B7A70"/>
    <w:rsid w:val="0B2041FA"/>
    <w:rsid w:val="0B2E4B8E"/>
    <w:rsid w:val="0B332DB3"/>
    <w:rsid w:val="0B66173A"/>
    <w:rsid w:val="0B6B22C9"/>
    <w:rsid w:val="0B700CB1"/>
    <w:rsid w:val="0B8D0851"/>
    <w:rsid w:val="0B911AD5"/>
    <w:rsid w:val="0B9C703C"/>
    <w:rsid w:val="0BA24AC6"/>
    <w:rsid w:val="0BB73761"/>
    <w:rsid w:val="0BB774B4"/>
    <w:rsid w:val="0BC37763"/>
    <w:rsid w:val="0BC66A92"/>
    <w:rsid w:val="0BCF6437"/>
    <w:rsid w:val="0BD42EA7"/>
    <w:rsid w:val="0BE060AB"/>
    <w:rsid w:val="0BE5073A"/>
    <w:rsid w:val="0BEC64DF"/>
    <w:rsid w:val="0BF613BA"/>
    <w:rsid w:val="0BF642F0"/>
    <w:rsid w:val="0BFA26CC"/>
    <w:rsid w:val="0C121409"/>
    <w:rsid w:val="0C215F5C"/>
    <w:rsid w:val="0C2B724F"/>
    <w:rsid w:val="0C4548C9"/>
    <w:rsid w:val="0C4A717C"/>
    <w:rsid w:val="0C6B018A"/>
    <w:rsid w:val="0C7A78E7"/>
    <w:rsid w:val="0C8240FA"/>
    <w:rsid w:val="0C8E0A22"/>
    <w:rsid w:val="0CA66B9D"/>
    <w:rsid w:val="0CB47CA0"/>
    <w:rsid w:val="0CBD0903"/>
    <w:rsid w:val="0CD45C4C"/>
    <w:rsid w:val="0CE12595"/>
    <w:rsid w:val="0CEC2E27"/>
    <w:rsid w:val="0CF1277C"/>
    <w:rsid w:val="0D095575"/>
    <w:rsid w:val="0D0E6A58"/>
    <w:rsid w:val="0D1129FD"/>
    <w:rsid w:val="0D1E09AD"/>
    <w:rsid w:val="0D21676D"/>
    <w:rsid w:val="0D264362"/>
    <w:rsid w:val="0D381D74"/>
    <w:rsid w:val="0D3D4160"/>
    <w:rsid w:val="0D444BF6"/>
    <w:rsid w:val="0D4728C2"/>
    <w:rsid w:val="0D582EF3"/>
    <w:rsid w:val="0D6F4E1F"/>
    <w:rsid w:val="0D703BC7"/>
    <w:rsid w:val="0D711963"/>
    <w:rsid w:val="0D736116"/>
    <w:rsid w:val="0D812422"/>
    <w:rsid w:val="0D8458C4"/>
    <w:rsid w:val="0D8D045B"/>
    <w:rsid w:val="0D980066"/>
    <w:rsid w:val="0DA10095"/>
    <w:rsid w:val="0DA40CBE"/>
    <w:rsid w:val="0DA87365"/>
    <w:rsid w:val="0DAD437D"/>
    <w:rsid w:val="0DB53CD0"/>
    <w:rsid w:val="0DB60C93"/>
    <w:rsid w:val="0DBD15EE"/>
    <w:rsid w:val="0DCE17DD"/>
    <w:rsid w:val="0DD51C7C"/>
    <w:rsid w:val="0DDA516F"/>
    <w:rsid w:val="0DF420B6"/>
    <w:rsid w:val="0E091442"/>
    <w:rsid w:val="0E1B78DD"/>
    <w:rsid w:val="0E1C5AFD"/>
    <w:rsid w:val="0E2F4817"/>
    <w:rsid w:val="0E43781C"/>
    <w:rsid w:val="0E4A08BC"/>
    <w:rsid w:val="0E4E052B"/>
    <w:rsid w:val="0E7B6CC7"/>
    <w:rsid w:val="0E7D4279"/>
    <w:rsid w:val="0E8D07A9"/>
    <w:rsid w:val="0E9525CD"/>
    <w:rsid w:val="0E9953A0"/>
    <w:rsid w:val="0EB67D00"/>
    <w:rsid w:val="0EB76518"/>
    <w:rsid w:val="0ED46221"/>
    <w:rsid w:val="0EDC70EA"/>
    <w:rsid w:val="0EDD34DE"/>
    <w:rsid w:val="0EE53024"/>
    <w:rsid w:val="0EF54ED7"/>
    <w:rsid w:val="0F074776"/>
    <w:rsid w:val="0F18725B"/>
    <w:rsid w:val="0F187DBB"/>
    <w:rsid w:val="0F2440D7"/>
    <w:rsid w:val="0F2C7A9A"/>
    <w:rsid w:val="0F3D3AB4"/>
    <w:rsid w:val="0F46008D"/>
    <w:rsid w:val="0F473153"/>
    <w:rsid w:val="0F6E755A"/>
    <w:rsid w:val="0F7316A6"/>
    <w:rsid w:val="0F77683F"/>
    <w:rsid w:val="0F7C2CF7"/>
    <w:rsid w:val="0F875103"/>
    <w:rsid w:val="0F8932E2"/>
    <w:rsid w:val="0FA500A8"/>
    <w:rsid w:val="0FBC695E"/>
    <w:rsid w:val="0FBD50BE"/>
    <w:rsid w:val="0FC94B29"/>
    <w:rsid w:val="0FEE5277"/>
    <w:rsid w:val="0FF41ADA"/>
    <w:rsid w:val="1007482F"/>
    <w:rsid w:val="10077B30"/>
    <w:rsid w:val="100E40D5"/>
    <w:rsid w:val="1014773E"/>
    <w:rsid w:val="103F0670"/>
    <w:rsid w:val="104355C3"/>
    <w:rsid w:val="10484987"/>
    <w:rsid w:val="104F21BA"/>
    <w:rsid w:val="10513A70"/>
    <w:rsid w:val="105721DD"/>
    <w:rsid w:val="10584021"/>
    <w:rsid w:val="105D20B7"/>
    <w:rsid w:val="106A6D88"/>
    <w:rsid w:val="106C5F85"/>
    <w:rsid w:val="107D2040"/>
    <w:rsid w:val="108D705D"/>
    <w:rsid w:val="10907F18"/>
    <w:rsid w:val="109E5780"/>
    <w:rsid w:val="109E624B"/>
    <w:rsid w:val="10A07A0D"/>
    <w:rsid w:val="10A976B6"/>
    <w:rsid w:val="10AC7C33"/>
    <w:rsid w:val="10B34976"/>
    <w:rsid w:val="10B464C1"/>
    <w:rsid w:val="10CF32FA"/>
    <w:rsid w:val="10D34D5A"/>
    <w:rsid w:val="10D601E5"/>
    <w:rsid w:val="10D97499"/>
    <w:rsid w:val="10E16330"/>
    <w:rsid w:val="10E368A9"/>
    <w:rsid w:val="10F03431"/>
    <w:rsid w:val="11072A94"/>
    <w:rsid w:val="1108342A"/>
    <w:rsid w:val="11086EBE"/>
    <w:rsid w:val="110C1E59"/>
    <w:rsid w:val="11124F95"/>
    <w:rsid w:val="111725AC"/>
    <w:rsid w:val="112A0CFB"/>
    <w:rsid w:val="11366ED6"/>
    <w:rsid w:val="11515ABE"/>
    <w:rsid w:val="11634536"/>
    <w:rsid w:val="1164103E"/>
    <w:rsid w:val="118A67A0"/>
    <w:rsid w:val="119200E9"/>
    <w:rsid w:val="11944925"/>
    <w:rsid w:val="11B20055"/>
    <w:rsid w:val="11BD4180"/>
    <w:rsid w:val="11C01EB2"/>
    <w:rsid w:val="11F87930"/>
    <w:rsid w:val="11F909B7"/>
    <w:rsid w:val="12015806"/>
    <w:rsid w:val="1225307D"/>
    <w:rsid w:val="12287A7C"/>
    <w:rsid w:val="12442950"/>
    <w:rsid w:val="12502831"/>
    <w:rsid w:val="12635AA8"/>
    <w:rsid w:val="126536CA"/>
    <w:rsid w:val="126F08F1"/>
    <w:rsid w:val="12767ED2"/>
    <w:rsid w:val="129760CA"/>
    <w:rsid w:val="12A06ACB"/>
    <w:rsid w:val="12A908CC"/>
    <w:rsid w:val="12B87EF8"/>
    <w:rsid w:val="12C02EFB"/>
    <w:rsid w:val="12C26053"/>
    <w:rsid w:val="12D01707"/>
    <w:rsid w:val="12D1335A"/>
    <w:rsid w:val="12EA7F78"/>
    <w:rsid w:val="12FC64E7"/>
    <w:rsid w:val="12FD60C7"/>
    <w:rsid w:val="131B6383"/>
    <w:rsid w:val="132643C5"/>
    <w:rsid w:val="132D1D1A"/>
    <w:rsid w:val="13347DAB"/>
    <w:rsid w:val="133F0A67"/>
    <w:rsid w:val="133F2BF4"/>
    <w:rsid w:val="1347731D"/>
    <w:rsid w:val="134A0B53"/>
    <w:rsid w:val="13511DA5"/>
    <w:rsid w:val="13583122"/>
    <w:rsid w:val="13843362"/>
    <w:rsid w:val="139A3EF6"/>
    <w:rsid w:val="139B0DEE"/>
    <w:rsid w:val="139E2D5C"/>
    <w:rsid w:val="13B71A6D"/>
    <w:rsid w:val="13BE2E7E"/>
    <w:rsid w:val="13CE7899"/>
    <w:rsid w:val="13EA7426"/>
    <w:rsid w:val="13EF4482"/>
    <w:rsid w:val="13F3348F"/>
    <w:rsid w:val="140123D7"/>
    <w:rsid w:val="140E113C"/>
    <w:rsid w:val="141554C8"/>
    <w:rsid w:val="14171D9E"/>
    <w:rsid w:val="141F4779"/>
    <w:rsid w:val="14237BE5"/>
    <w:rsid w:val="14261483"/>
    <w:rsid w:val="1429657E"/>
    <w:rsid w:val="142E6750"/>
    <w:rsid w:val="143B1D41"/>
    <w:rsid w:val="144777F0"/>
    <w:rsid w:val="14553B17"/>
    <w:rsid w:val="145730B1"/>
    <w:rsid w:val="14775465"/>
    <w:rsid w:val="148065AF"/>
    <w:rsid w:val="1481068F"/>
    <w:rsid w:val="148648AD"/>
    <w:rsid w:val="14915658"/>
    <w:rsid w:val="14983A03"/>
    <w:rsid w:val="14984438"/>
    <w:rsid w:val="14A05457"/>
    <w:rsid w:val="14A302ED"/>
    <w:rsid w:val="14A63EA8"/>
    <w:rsid w:val="14AA3E63"/>
    <w:rsid w:val="14C60571"/>
    <w:rsid w:val="14E8498B"/>
    <w:rsid w:val="14F70B10"/>
    <w:rsid w:val="14F91A61"/>
    <w:rsid w:val="150115A9"/>
    <w:rsid w:val="15242AD3"/>
    <w:rsid w:val="15266232"/>
    <w:rsid w:val="152A2022"/>
    <w:rsid w:val="152F25BA"/>
    <w:rsid w:val="15311E8E"/>
    <w:rsid w:val="154107F7"/>
    <w:rsid w:val="154D34E6"/>
    <w:rsid w:val="15740F9E"/>
    <w:rsid w:val="159A5332"/>
    <w:rsid w:val="15A30D28"/>
    <w:rsid w:val="15AD67BB"/>
    <w:rsid w:val="15C61A57"/>
    <w:rsid w:val="15C947BC"/>
    <w:rsid w:val="15CA4090"/>
    <w:rsid w:val="15DF60D6"/>
    <w:rsid w:val="15E85102"/>
    <w:rsid w:val="15F83458"/>
    <w:rsid w:val="160752E5"/>
    <w:rsid w:val="162D1154"/>
    <w:rsid w:val="16304ACE"/>
    <w:rsid w:val="163D44F0"/>
    <w:rsid w:val="163D6047"/>
    <w:rsid w:val="164E081E"/>
    <w:rsid w:val="16560EE7"/>
    <w:rsid w:val="16590A62"/>
    <w:rsid w:val="165E089D"/>
    <w:rsid w:val="165E095B"/>
    <w:rsid w:val="16657BE6"/>
    <w:rsid w:val="166A2814"/>
    <w:rsid w:val="16717C56"/>
    <w:rsid w:val="16742266"/>
    <w:rsid w:val="16970417"/>
    <w:rsid w:val="16BE38C9"/>
    <w:rsid w:val="16DE4625"/>
    <w:rsid w:val="16E13755"/>
    <w:rsid w:val="16E77D10"/>
    <w:rsid w:val="16EA085D"/>
    <w:rsid w:val="170B2A19"/>
    <w:rsid w:val="170B2F8A"/>
    <w:rsid w:val="171B41FF"/>
    <w:rsid w:val="171C7831"/>
    <w:rsid w:val="17213651"/>
    <w:rsid w:val="17222C66"/>
    <w:rsid w:val="17233E03"/>
    <w:rsid w:val="17235BED"/>
    <w:rsid w:val="17343EB7"/>
    <w:rsid w:val="1739719B"/>
    <w:rsid w:val="17397720"/>
    <w:rsid w:val="173B732A"/>
    <w:rsid w:val="174D2F8F"/>
    <w:rsid w:val="17596CB7"/>
    <w:rsid w:val="176C2B5C"/>
    <w:rsid w:val="176D1177"/>
    <w:rsid w:val="1773005D"/>
    <w:rsid w:val="177D1FB8"/>
    <w:rsid w:val="179104C6"/>
    <w:rsid w:val="179157AF"/>
    <w:rsid w:val="179E46C5"/>
    <w:rsid w:val="179F7EA6"/>
    <w:rsid w:val="17A67E3B"/>
    <w:rsid w:val="17AF353E"/>
    <w:rsid w:val="17BD15A7"/>
    <w:rsid w:val="17C25752"/>
    <w:rsid w:val="17D16426"/>
    <w:rsid w:val="17F359D2"/>
    <w:rsid w:val="17FC10DA"/>
    <w:rsid w:val="17FF1DFC"/>
    <w:rsid w:val="180715CC"/>
    <w:rsid w:val="18146F14"/>
    <w:rsid w:val="181B2472"/>
    <w:rsid w:val="18357EE7"/>
    <w:rsid w:val="18471EA8"/>
    <w:rsid w:val="18567E5D"/>
    <w:rsid w:val="185B5C9A"/>
    <w:rsid w:val="185F703D"/>
    <w:rsid w:val="187800EC"/>
    <w:rsid w:val="188A0E12"/>
    <w:rsid w:val="188F427D"/>
    <w:rsid w:val="18981A0C"/>
    <w:rsid w:val="18A07277"/>
    <w:rsid w:val="18A22F08"/>
    <w:rsid w:val="18A633CC"/>
    <w:rsid w:val="18AE4838"/>
    <w:rsid w:val="18B0756E"/>
    <w:rsid w:val="18B43502"/>
    <w:rsid w:val="18BC1226"/>
    <w:rsid w:val="18BC23B6"/>
    <w:rsid w:val="18BF2A70"/>
    <w:rsid w:val="18C57E95"/>
    <w:rsid w:val="18C85F48"/>
    <w:rsid w:val="18DD180C"/>
    <w:rsid w:val="18E16C77"/>
    <w:rsid w:val="18E839A9"/>
    <w:rsid w:val="18EA6F23"/>
    <w:rsid w:val="18EB1A29"/>
    <w:rsid w:val="18ED2570"/>
    <w:rsid w:val="19094469"/>
    <w:rsid w:val="190B50EC"/>
    <w:rsid w:val="190D63CE"/>
    <w:rsid w:val="191D01E5"/>
    <w:rsid w:val="192835A8"/>
    <w:rsid w:val="193E0479"/>
    <w:rsid w:val="193E2DCB"/>
    <w:rsid w:val="194B373A"/>
    <w:rsid w:val="195725A1"/>
    <w:rsid w:val="196665F7"/>
    <w:rsid w:val="1977659D"/>
    <w:rsid w:val="197775B9"/>
    <w:rsid w:val="197B401F"/>
    <w:rsid w:val="19800A63"/>
    <w:rsid w:val="198772A8"/>
    <w:rsid w:val="198B5E3A"/>
    <w:rsid w:val="19910B5A"/>
    <w:rsid w:val="199C7EE5"/>
    <w:rsid w:val="199F74A2"/>
    <w:rsid w:val="19A31619"/>
    <w:rsid w:val="19A50196"/>
    <w:rsid w:val="19A5203A"/>
    <w:rsid w:val="19A61B90"/>
    <w:rsid w:val="19AF337B"/>
    <w:rsid w:val="19C5408B"/>
    <w:rsid w:val="19CE0BFB"/>
    <w:rsid w:val="19E05171"/>
    <w:rsid w:val="19E35721"/>
    <w:rsid w:val="19EB008C"/>
    <w:rsid w:val="19EF40C6"/>
    <w:rsid w:val="1A0379A9"/>
    <w:rsid w:val="1A09162B"/>
    <w:rsid w:val="1A0D0A45"/>
    <w:rsid w:val="1A121C17"/>
    <w:rsid w:val="1A143B2C"/>
    <w:rsid w:val="1A3638B2"/>
    <w:rsid w:val="1A5031F6"/>
    <w:rsid w:val="1A6E5932"/>
    <w:rsid w:val="1A8202E0"/>
    <w:rsid w:val="1A842C7A"/>
    <w:rsid w:val="1A8707A2"/>
    <w:rsid w:val="1A89276C"/>
    <w:rsid w:val="1A8A7F67"/>
    <w:rsid w:val="1AA247A1"/>
    <w:rsid w:val="1AB1581F"/>
    <w:rsid w:val="1AB32536"/>
    <w:rsid w:val="1AB86BAD"/>
    <w:rsid w:val="1ACC3A4D"/>
    <w:rsid w:val="1ACD59D7"/>
    <w:rsid w:val="1AD11A1D"/>
    <w:rsid w:val="1AE81005"/>
    <w:rsid w:val="1AF3397B"/>
    <w:rsid w:val="1AF5395E"/>
    <w:rsid w:val="1AFF3A38"/>
    <w:rsid w:val="1B0342CC"/>
    <w:rsid w:val="1B0B5DD7"/>
    <w:rsid w:val="1B240483"/>
    <w:rsid w:val="1B252F5D"/>
    <w:rsid w:val="1B2A3FFD"/>
    <w:rsid w:val="1B310BE3"/>
    <w:rsid w:val="1B3609F4"/>
    <w:rsid w:val="1B486183"/>
    <w:rsid w:val="1B4E379B"/>
    <w:rsid w:val="1B521BB9"/>
    <w:rsid w:val="1B5763C6"/>
    <w:rsid w:val="1B5E1503"/>
    <w:rsid w:val="1B6868C3"/>
    <w:rsid w:val="1B6F54BE"/>
    <w:rsid w:val="1B7E301A"/>
    <w:rsid w:val="1B851185"/>
    <w:rsid w:val="1B8B05F0"/>
    <w:rsid w:val="1B993C3C"/>
    <w:rsid w:val="1B9F7C29"/>
    <w:rsid w:val="1BBB257A"/>
    <w:rsid w:val="1BCD54C9"/>
    <w:rsid w:val="1BD2272B"/>
    <w:rsid w:val="1BDC7A5D"/>
    <w:rsid w:val="1BDE167F"/>
    <w:rsid w:val="1BFD0D1C"/>
    <w:rsid w:val="1C034FFA"/>
    <w:rsid w:val="1C281B11"/>
    <w:rsid w:val="1C2B3FA7"/>
    <w:rsid w:val="1C3217C2"/>
    <w:rsid w:val="1C370AE4"/>
    <w:rsid w:val="1C511068"/>
    <w:rsid w:val="1C5F360A"/>
    <w:rsid w:val="1C6836B2"/>
    <w:rsid w:val="1C6B63AD"/>
    <w:rsid w:val="1C730FDE"/>
    <w:rsid w:val="1CA701B4"/>
    <w:rsid w:val="1CAA5075"/>
    <w:rsid w:val="1CAC2FD5"/>
    <w:rsid w:val="1CB24ACB"/>
    <w:rsid w:val="1CBE272C"/>
    <w:rsid w:val="1CCB791D"/>
    <w:rsid w:val="1CD153B4"/>
    <w:rsid w:val="1CD221A8"/>
    <w:rsid w:val="1CD254B3"/>
    <w:rsid w:val="1CED198E"/>
    <w:rsid w:val="1CED28D3"/>
    <w:rsid w:val="1CEE7B9A"/>
    <w:rsid w:val="1CF35F5F"/>
    <w:rsid w:val="1CF4743B"/>
    <w:rsid w:val="1CF8251D"/>
    <w:rsid w:val="1CF9709D"/>
    <w:rsid w:val="1D01483C"/>
    <w:rsid w:val="1D0F0F89"/>
    <w:rsid w:val="1D156539"/>
    <w:rsid w:val="1D1F3662"/>
    <w:rsid w:val="1D2368CC"/>
    <w:rsid w:val="1D4500D1"/>
    <w:rsid w:val="1D4B790E"/>
    <w:rsid w:val="1D526E45"/>
    <w:rsid w:val="1D556936"/>
    <w:rsid w:val="1D6E430A"/>
    <w:rsid w:val="1D864022"/>
    <w:rsid w:val="1D952EBA"/>
    <w:rsid w:val="1D9A07EC"/>
    <w:rsid w:val="1DCC309C"/>
    <w:rsid w:val="1DE74871"/>
    <w:rsid w:val="1DEA4577"/>
    <w:rsid w:val="1DEC2EB5"/>
    <w:rsid w:val="1DF12B02"/>
    <w:rsid w:val="1DFB390A"/>
    <w:rsid w:val="1E0122EB"/>
    <w:rsid w:val="1E032872"/>
    <w:rsid w:val="1E123BCF"/>
    <w:rsid w:val="1E1723C2"/>
    <w:rsid w:val="1E3F518D"/>
    <w:rsid w:val="1E452F24"/>
    <w:rsid w:val="1E486D8A"/>
    <w:rsid w:val="1E522E75"/>
    <w:rsid w:val="1E655D2B"/>
    <w:rsid w:val="1E6E1ADA"/>
    <w:rsid w:val="1E907C8B"/>
    <w:rsid w:val="1E92670F"/>
    <w:rsid w:val="1E992F94"/>
    <w:rsid w:val="1EAD2DE3"/>
    <w:rsid w:val="1EB106C6"/>
    <w:rsid w:val="1EB91A0E"/>
    <w:rsid w:val="1EC57AEB"/>
    <w:rsid w:val="1EC700E3"/>
    <w:rsid w:val="1ECE2E43"/>
    <w:rsid w:val="1ED81A83"/>
    <w:rsid w:val="1ED8781E"/>
    <w:rsid w:val="1ED93F88"/>
    <w:rsid w:val="1EDD501A"/>
    <w:rsid w:val="1EE1004B"/>
    <w:rsid w:val="1EE15C31"/>
    <w:rsid w:val="1EE47F71"/>
    <w:rsid w:val="1EF919FD"/>
    <w:rsid w:val="1F142FF4"/>
    <w:rsid w:val="1F1869E0"/>
    <w:rsid w:val="1F20367F"/>
    <w:rsid w:val="1F320A41"/>
    <w:rsid w:val="1F3535EB"/>
    <w:rsid w:val="1F390B75"/>
    <w:rsid w:val="1F3D1A0F"/>
    <w:rsid w:val="1F41696C"/>
    <w:rsid w:val="1F4B71D4"/>
    <w:rsid w:val="1F5A5454"/>
    <w:rsid w:val="1F6D440A"/>
    <w:rsid w:val="1F784938"/>
    <w:rsid w:val="1F8C28BE"/>
    <w:rsid w:val="1F946C80"/>
    <w:rsid w:val="1F98137F"/>
    <w:rsid w:val="1F996FAD"/>
    <w:rsid w:val="1F9D4CCD"/>
    <w:rsid w:val="1FA44448"/>
    <w:rsid w:val="1FC448E5"/>
    <w:rsid w:val="1FDD6DA3"/>
    <w:rsid w:val="1FF03B5F"/>
    <w:rsid w:val="1FF71003"/>
    <w:rsid w:val="1FFC3E7F"/>
    <w:rsid w:val="20043B8E"/>
    <w:rsid w:val="20045C8B"/>
    <w:rsid w:val="200818C2"/>
    <w:rsid w:val="20146CBA"/>
    <w:rsid w:val="20195940"/>
    <w:rsid w:val="20200378"/>
    <w:rsid w:val="20250841"/>
    <w:rsid w:val="202F0FD5"/>
    <w:rsid w:val="203B6290"/>
    <w:rsid w:val="20492F60"/>
    <w:rsid w:val="204C78C3"/>
    <w:rsid w:val="20542ED4"/>
    <w:rsid w:val="205816A1"/>
    <w:rsid w:val="20784E15"/>
    <w:rsid w:val="2088281A"/>
    <w:rsid w:val="209854B7"/>
    <w:rsid w:val="20A0611A"/>
    <w:rsid w:val="20AC4ABE"/>
    <w:rsid w:val="20AD0A3C"/>
    <w:rsid w:val="20AE2FE6"/>
    <w:rsid w:val="20B9399F"/>
    <w:rsid w:val="20C56551"/>
    <w:rsid w:val="20D65FDF"/>
    <w:rsid w:val="20E3645C"/>
    <w:rsid w:val="20E765ED"/>
    <w:rsid w:val="20F43AD1"/>
    <w:rsid w:val="20F73191"/>
    <w:rsid w:val="20FC3541"/>
    <w:rsid w:val="20FF1092"/>
    <w:rsid w:val="21030C47"/>
    <w:rsid w:val="21056B7A"/>
    <w:rsid w:val="210668C5"/>
    <w:rsid w:val="21091A1E"/>
    <w:rsid w:val="210B5C89"/>
    <w:rsid w:val="211F7986"/>
    <w:rsid w:val="212C5C64"/>
    <w:rsid w:val="212D49A1"/>
    <w:rsid w:val="21303941"/>
    <w:rsid w:val="213F3252"/>
    <w:rsid w:val="21486EDD"/>
    <w:rsid w:val="2154560B"/>
    <w:rsid w:val="216644AF"/>
    <w:rsid w:val="217E5160"/>
    <w:rsid w:val="219A700D"/>
    <w:rsid w:val="219F63D1"/>
    <w:rsid w:val="21B53EA5"/>
    <w:rsid w:val="21D4591D"/>
    <w:rsid w:val="21E12E8E"/>
    <w:rsid w:val="21E14A75"/>
    <w:rsid w:val="21FC7971"/>
    <w:rsid w:val="21FE7A7F"/>
    <w:rsid w:val="220731ED"/>
    <w:rsid w:val="22092210"/>
    <w:rsid w:val="22100E16"/>
    <w:rsid w:val="22124DF5"/>
    <w:rsid w:val="22221C8A"/>
    <w:rsid w:val="222B7D18"/>
    <w:rsid w:val="222D7E81"/>
    <w:rsid w:val="223E553B"/>
    <w:rsid w:val="22403F6C"/>
    <w:rsid w:val="22450DA6"/>
    <w:rsid w:val="225146C1"/>
    <w:rsid w:val="2253637F"/>
    <w:rsid w:val="22617E6A"/>
    <w:rsid w:val="22623FCE"/>
    <w:rsid w:val="22767D40"/>
    <w:rsid w:val="22883309"/>
    <w:rsid w:val="22947F00"/>
    <w:rsid w:val="22A209B8"/>
    <w:rsid w:val="22AD56AE"/>
    <w:rsid w:val="22C00CF5"/>
    <w:rsid w:val="22C12CE9"/>
    <w:rsid w:val="22C51682"/>
    <w:rsid w:val="22C708C4"/>
    <w:rsid w:val="22CA1B74"/>
    <w:rsid w:val="22D838CC"/>
    <w:rsid w:val="22DC648B"/>
    <w:rsid w:val="22FC3229"/>
    <w:rsid w:val="22FF35CB"/>
    <w:rsid w:val="230B325A"/>
    <w:rsid w:val="231134BB"/>
    <w:rsid w:val="23166B67"/>
    <w:rsid w:val="231D6147"/>
    <w:rsid w:val="233177BD"/>
    <w:rsid w:val="234D5C31"/>
    <w:rsid w:val="23667BFA"/>
    <w:rsid w:val="236D7858"/>
    <w:rsid w:val="23755D88"/>
    <w:rsid w:val="239D4B92"/>
    <w:rsid w:val="23A064E3"/>
    <w:rsid w:val="23AB341A"/>
    <w:rsid w:val="23AB72AF"/>
    <w:rsid w:val="23B00D6A"/>
    <w:rsid w:val="23B32608"/>
    <w:rsid w:val="23B60D4B"/>
    <w:rsid w:val="23BA3ACB"/>
    <w:rsid w:val="23C640E9"/>
    <w:rsid w:val="23C74B11"/>
    <w:rsid w:val="23C955A8"/>
    <w:rsid w:val="23CB16FF"/>
    <w:rsid w:val="23D226FB"/>
    <w:rsid w:val="23D22A8E"/>
    <w:rsid w:val="23D64262"/>
    <w:rsid w:val="23E15EEF"/>
    <w:rsid w:val="23E822B1"/>
    <w:rsid w:val="23EC08D0"/>
    <w:rsid w:val="23EE3640"/>
    <w:rsid w:val="23EE53EE"/>
    <w:rsid w:val="24030E99"/>
    <w:rsid w:val="240370EB"/>
    <w:rsid w:val="240572B4"/>
    <w:rsid w:val="24080637"/>
    <w:rsid w:val="24152377"/>
    <w:rsid w:val="242343C7"/>
    <w:rsid w:val="242A690E"/>
    <w:rsid w:val="242C7606"/>
    <w:rsid w:val="242E0ADD"/>
    <w:rsid w:val="24331A70"/>
    <w:rsid w:val="244A2F6C"/>
    <w:rsid w:val="24577437"/>
    <w:rsid w:val="246B6A3F"/>
    <w:rsid w:val="247459D9"/>
    <w:rsid w:val="24917051"/>
    <w:rsid w:val="24920E4D"/>
    <w:rsid w:val="24AA3A0B"/>
    <w:rsid w:val="24BF6C72"/>
    <w:rsid w:val="24C745BD"/>
    <w:rsid w:val="24CA32FF"/>
    <w:rsid w:val="24D42091"/>
    <w:rsid w:val="24D720E8"/>
    <w:rsid w:val="24D96ACF"/>
    <w:rsid w:val="24D972C5"/>
    <w:rsid w:val="24DC4B11"/>
    <w:rsid w:val="24E276EE"/>
    <w:rsid w:val="24E76A0D"/>
    <w:rsid w:val="24EC5DD1"/>
    <w:rsid w:val="252F7103"/>
    <w:rsid w:val="2531650E"/>
    <w:rsid w:val="25344B23"/>
    <w:rsid w:val="2536704D"/>
    <w:rsid w:val="25421E95"/>
    <w:rsid w:val="2564005E"/>
    <w:rsid w:val="256C3652"/>
    <w:rsid w:val="25717107"/>
    <w:rsid w:val="257858B7"/>
    <w:rsid w:val="257B6B20"/>
    <w:rsid w:val="258204E4"/>
    <w:rsid w:val="25833A63"/>
    <w:rsid w:val="25850C3A"/>
    <w:rsid w:val="25893A50"/>
    <w:rsid w:val="25902155"/>
    <w:rsid w:val="259A3A7F"/>
    <w:rsid w:val="25A20B86"/>
    <w:rsid w:val="25A24A04"/>
    <w:rsid w:val="25AC00D1"/>
    <w:rsid w:val="25B53E66"/>
    <w:rsid w:val="25C12E06"/>
    <w:rsid w:val="25C22D2B"/>
    <w:rsid w:val="25CD0B0A"/>
    <w:rsid w:val="25D733A9"/>
    <w:rsid w:val="25E728EC"/>
    <w:rsid w:val="25F02256"/>
    <w:rsid w:val="25F144D0"/>
    <w:rsid w:val="260875AE"/>
    <w:rsid w:val="261C2A83"/>
    <w:rsid w:val="26303B37"/>
    <w:rsid w:val="26393298"/>
    <w:rsid w:val="26396DF4"/>
    <w:rsid w:val="263C0693"/>
    <w:rsid w:val="263D105E"/>
    <w:rsid w:val="26436DBD"/>
    <w:rsid w:val="26455660"/>
    <w:rsid w:val="264F6618"/>
    <w:rsid w:val="265830CF"/>
    <w:rsid w:val="26656232"/>
    <w:rsid w:val="26783DAF"/>
    <w:rsid w:val="26941C81"/>
    <w:rsid w:val="269C2300"/>
    <w:rsid w:val="26A00648"/>
    <w:rsid w:val="26A06E73"/>
    <w:rsid w:val="26B26BA7"/>
    <w:rsid w:val="26B47EA0"/>
    <w:rsid w:val="26BC41CD"/>
    <w:rsid w:val="26C40F4A"/>
    <w:rsid w:val="26C72306"/>
    <w:rsid w:val="26DC5CA7"/>
    <w:rsid w:val="26DE799C"/>
    <w:rsid w:val="26E349B7"/>
    <w:rsid w:val="26E81F04"/>
    <w:rsid w:val="26EA614F"/>
    <w:rsid w:val="26F96584"/>
    <w:rsid w:val="26FF2292"/>
    <w:rsid w:val="2713495A"/>
    <w:rsid w:val="27191D75"/>
    <w:rsid w:val="272C0707"/>
    <w:rsid w:val="27311B93"/>
    <w:rsid w:val="27382820"/>
    <w:rsid w:val="27443246"/>
    <w:rsid w:val="27687549"/>
    <w:rsid w:val="276A58A5"/>
    <w:rsid w:val="27787DF0"/>
    <w:rsid w:val="2781206F"/>
    <w:rsid w:val="27962024"/>
    <w:rsid w:val="279767CB"/>
    <w:rsid w:val="279E28E9"/>
    <w:rsid w:val="27C105AE"/>
    <w:rsid w:val="27C92F10"/>
    <w:rsid w:val="27CC0EF2"/>
    <w:rsid w:val="27DB6617"/>
    <w:rsid w:val="27DE1DFF"/>
    <w:rsid w:val="27E51536"/>
    <w:rsid w:val="27E83399"/>
    <w:rsid w:val="27F332EE"/>
    <w:rsid w:val="27FB269A"/>
    <w:rsid w:val="27FE68F7"/>
    <w:rsid w:val="2802140A"/>
    <w:rsid w:val="281333B4"/>
    <w:rsid w:val="281F201A"/>
    <w:rsid w:val="2835183D"/>
    <w:rsid w:val="28533431"/>
    <w:rsid w:val="28611659"/>
    <w:rsid w:val="28631A55"/>
    <w:rsid w:val="28667C49"/>
    <w:rsid w:val="28706D19"/>
    <w:rsid w:val="287D21FE"/>
    <w:rsid w:val="287D6A55"/>
    <w:rsid w:val="288A1B89"/>
    <w:rsid w:val="28943FB7"/>
    <w:rsid w:val="289970D5"/>
    <w:rsid w:val="28A43E8F"/>
    <w:rsid w:val="28A644E9"/>
    <w:rsid w:val="28C05087"/>
    <w:rsid w:val="28C44E41"/>
    <w:rsid w:val="28CF575D"/>
    <w:rsid w:val="28DC314A"/>
    <w:rsid w:val="28EC5CE7"/>
    <w:rsid w:val="28ED3EC6"/>
    <w:rsid w:val="290B5E09"/>
    <w:rsid w:val="29141678"/>
    <w:rsid w:val="291565C9"/>
    <w:rsid w:val="293C5AEC"/>
    <w:rsid w:val="297122EA"/>
    <w:rsid w:val="297426C2"/>
    <w:rsid w:val="297E3F21"/>
    <w:rsid w:val="29804D3A"/>
    <w:rsid w:val="298C22CD"/>
    <w:rsid w:val="29945C1B"/>
    <w:rsid w:val="29CF181E"/>
    <w:rsid w:val="29DB1BF4"/>
    <w:rsid w:val="29F17415"/>
    <w:rsid w:val="29F36892"/>
    <w:rsid w:val="29FD1664"/>
    <w:rsid w:val="2A0D3989"/>
    <w:rsid w:val="2A0F02AA"/>
    <w:rsid w:val="2A497822"/>
    <w:rsid w:val="2A5657A8"/>
    <w:rsid w:val="2A766B21"/>
    <w:rsid w:val="2A870159"/>
    <w:rsid w:val="2A8B684F"/>
    <w:rsid w:val="2A8E20F2"/>
    <w:rsid w:val="2AAD6003"/>
    <w:rsid w:val="2AB648CF"/>
    <w:rsid w:val="2AC80319"/>
    <w:rsid w:val="2ACE4B9D"/>
    <w:rsid w:val="2AD476E1"/>
    <w:rsid w:val="2AE17BF2"/>
    <w:rsid w:val="2B0B2D29"/>
    <w:rsid w:val="2B0E3AAB"/>
    <w:rsid w:val="2B32641C"/>
    <w:rsid w:val="2B347677"/>
    <w:rsid w:val="2B385435"/>
    <w:rsid w:val="2B3B1941"/>
    <w:rsid w:val="2B3E50BB"/>
    <w:rsid w:val="2B4A69C0"/>
    <w:rsid w:val="2B604E23"/>
    <w:rsid w:val="2B6366C1"/>
    <w:rsid w:val="2B794137"/>
    <w:rsid w:val="2B7B6FD3"/>
    <w:rsid w:val="2B835C97"/>
    <w:rsid w:val="2B845250"/>
    <w:rsid w:val="2B995746"/>
    <w:rsid w:val="2B9D103D"/>
    <w:rsid w:val="2BA309D9"/>
    <w:rsid w:val="2BCB36F3"/>
    <w:rsid w:val="2BD67E95"/>
    <w:rsid w:val="2BEB2262"/>
    <w:rsid w:val="2C044C56"/>
    <w:rsid w:val="2C180F2B"/>
    <w:rsid w:val="2C31056E"/>
    <w:rsid w:val="2C340407"/>
    <w:rsid w:val="2C3A1B18"/>
    <w:rsid w:val="2C424471"/>
    <w:rsid w:val="2C45390A"/>
    <w:rsid w:val="2C4B7881"/>
    <w:rsid w:val="2C576226"/>
    <w:rsid w:val="2C5C0674"/>
    <w:rsid w:val="2C6B5B70"/>
    <w:rsid w:val="2C7B493C"/>
    <w:rsid w:val="2C7E52A0"/>
    <w:rsid w:val="2C844B41"/>
    <w:rsid w:val="2C8A6AA3"/>
    <w:rsid w:val="2C8B3FEE"/>
    <w:rsid w:val="2C924D92"/>
    <w:rsid w:val="2C9771B7"/>
    <w:rsid w:val="2C9C632F"/>
    <w:rsid w:val="2C9E534E"/>
    <w:rsid w:val="2C9F6BDF"/>
    <w:rsid w:val="2CB15C7F"/>
    <w:rsid w:val="2CC31B0E"/>
    <w:rsid w:val="2CCE600A"/>
    <w:rsid w:val="2CED7BB5"/>
    <w:rsid w:val="2CFC76AD"/>
    <w:rsid w:val="2D0B5263"/>
    <w:rsid w:val="2D0D0FDB"/>
    <w:rsid w:val="2D0D23A6"/>
    <w:rsid w:val="2D1265F1"/>
    <w:rsid w:val="2D185BEA"/>
    <w:rsid w:val="2D1F758D"/>
    <w:rsid w:val="2D287BC3"/>
    <w:rsid w:val="2D3915E1"/>
    <w:rsid w:val="2D3E1194"/>
    <w:rsid w:val="2D4E5DF8"/>
    <w:rsid w:val="2D563BC5"/>
    <w:rsid w:val="2D6329A9"/>
    <w:rsid w:val="2D6C3F53"/>
    <w:rsid w:val="2D7519DF"/>
    <w:rsid w:val="2D844A56"/>
    <w:rsid w:val="2D872B3B"/>
    <w:rsid w:val="2DA7482A"/>
    <w:rsid w:val="2DAE0EBA"/>
    <w:rsid w:val="2DDE4BEB"/>
    <w:rsid w:val="2DDF5C3D"/>
    <w:rsid w:val="2DE03FF9"/>
    <w:rsid w:val="2DF91807"/>
    <w:rsid w:val="2E00100E"/>
    <w:rsid w:val="2E133665"/>
    <w:rsid w:val="2E19262B"/>
    <w:rsid w:val="2E2152C8"/>
    <w:rsid w:val="2E2248EC"/>
    <w:rsid w:val="2E236314"/>
    <w:rsid w:val="2E364E2D"/>
    <w:rsid w:val="2E3E188E"/>
    <w:rsid w:val="2E41529E"/>
    <w:rsid w:val="2E460850"/>
    <w:rsid w:val="2E5642BC"/>
    <w:rsid w:val="2E5F5866"/>
    <w:rsid w:val="2E642E7C"/>
    <w:rsid w:val="2E786928"/>
    <w:rsid w:val="2E7F65AD"/>
    <w:rsid w:val="2E8B0409"/>
    <w:rsid w:val="2E8B0630"/>
    <w:rsid w:val="2E96384B"/>
    <w:rsid w:val="2EB517F8"/>
    <w:rsid w:val="2EC4391B"/>
    <w:rsid w:val="2ED7364E"/>
    <w:rsid w:val="2EDC5C10"/>
    <w:rsid w:val="2EEF628E"/>
    <w:rsid w:val="2EF2748F"/>
    <w:rsid w:val="2EFA3401"/>
    <w:rsid w:val="2F0401BB"/>
    <w:rsid w:val="2F083403"/>
    <w:rsid w:val="2F1139A0"/>
    <w:rsid w:val="2F1E07E0"/>
    <w:rsid w:val="2F234AE5"/>
    <w:rsid w:val="2F2C6174"/>
    <w:rsid w:val="2F2D326E"/>
    <w:rsid w:val="2F31184B"/>
    <w:rsid w:val="2F340AA1"/>
    <w:rsid w:val="2F3C5BA7"/>
    <w:rsid w:val="2F3D7961"/>
    <w:rsid w:val="2F5816BA"/>
    <w:rsid w:val="2F5B602D"/>
    <w:rsid w:val="2F5C1340"/>
    <w:rsid w:val="2F5C7FF7"/>
    <w:rsid w:val="2F6219CF"/>
    <w:rsid w:val="2F68074A"/>
    <w:rsid w:val="2F734D3C"/>
    <w:rsid w:val="2F833124"/>
    <w:rsid w:val="2F8512FC"/>
    <w:rsid w:val="2F884949"/>
    <w:rsid w:val="2F936A4E"/>
    <w:rsid w:val="2F95078F"/>
    <w:rsid w:val="2FA015DA"/>
    <w:rsid w:val="2FB716BC"/>
    <w:rsid w:val="2FC00330"/>
    <w:rsid w:val="2FC51FB1"/>
    <w:rsid w:val="2FD60848"/>
    <w:rsid w:val="2FD86E9B"/>
    <w:rsid w:val="2FD944DB"/>
    <w:rsid w:val="2FF13B1E"/>
    <w:rsid w:val="2FF40230"/>
    <w:rsid w:val="2FF973D9"/>
    <w:rsid w:val="300638C6"/>
    <w:rsid w:val="30093CDB"/>
    <w:rsid w:val="30182170"/>
    <w:rsid w:val="301C4FC9"/>
    <w:rsid w:val="3023045A"/>
    <w:rsid w:val="30262DA9"/>
    <w:rsid w:val="3037182F"/>
    <w:rsid w:val="30607673"/>
    <w:rsid w:val="30631342"/>
    <w:rsid w:val="306453B6"/>
    <w:rsid w:val="306B099C"/>
    <w:rsid w:val="3073716F"/>
    <w:rsid w:val="307D0225"/>
    <w:rsid w:val="308C75AA"/>
    <w:rsid w:val="308D15CC"/>
    <w:rsid w:val="308D49C9"/>
    <w:rsid w:val="30936254"/>
    <w:rsid w:val="309F3C87"/>
    <w:rsid w:val="30A27C8C"/>
    <w:rsid w:val="30B548C0"/>
    <w:rsid w:val="30C23ADA"/>
    <w:rsid w:val="30C23E8A"/>
    <w:rsid w:val="30C73213"/>
    <w:rsid w:val="30D73F61"/>
    <w:rsid w:val="30EA3353"/>
    <w:rsid w:val="30F50609"/>
    <w:rsid w:val="30FA4918"/>
    <w:rsid w:val="31024CF2"/>
    <w:rsid w:val="310F183A"/>
    <w:rsid w:val="311F12DD"/>
    <w:rsid w:val="3120240D"/>
    <w:rsid w:val="31291BEE"/>
    <w:rsid w:val="312E5639"/>
    <w:rsid w:val="313A7EC4"/>
    <w:rsid w:val="3142497E"/>
    <w:rsid w:val="314B6706"/>
    <w:rsid w:val="314C014C"/>
    <w:rsid w:val="31542FFC"/>
    <w:rsid w:val="31595EE0"/>
    <w:rsid w:val="315A40C3"/>
    <w:rsid w:val="31624F2A"/>
    <w:rsid w:val="316D3EC4"/>
    <w:rsid w:val="316F5DC0"/>
    <w:rsid w:val="317E4859"/>
    <w:rsid w:val="31887937"/>
    <w:rsid w:val="3191058A"/>
    <w:rsid w:val="31924D92"/>
    <w:rsid w:val="319D0FFC"/>
    <w:rsid w:val="31AA07B4"/>
    <w:rsid w:val="31B22151"/>
    <w:rsid w:val="31C0661C"/>
    <w:rsid w:val="31C746CA"/>
    <w:rsid w:val="31CC4FC0"/>
    <w:rsid w:val="31D73965"/>
    <w:rsid w:val="31DB5B1B"/>
    <w:rsid w:val="31EE13DB"/>
    <w:rsid w:val="31F12C79"/>
    <w:rsid w:val="32056724"/>
    <w:rsid w:val="32106753"/>
    <w:rsid w:val="321903A0"/>
    <w:rsid w:val="321A15D6"/>
    <w:rsid w:val="321D6CE0"/>
    <w:rsid w:val="322832D9"/>
    <w:rsid w:val="32342B66"/>
    <w:rsid w:val="323472F0"/>
    <w:rsid w:val="323B0398"/>
    <w:rsid w:val="32425283"/>
    <w:rsid w:val="3248507A"/>
    <w:rsid w:val="324A2A66"/>
    <w:rsid w:val="32527BFC"/>
    <w:rsid w:val="32586854"/>
    <w:rsid w:val="325C3114"/>
    <w:rsid w:val="325E6D18"/>
    <w:rsid w:val="32607DFF"/>
    <w:rsid w:val="32643B50"/>
    <w:rsid w:val="32672F3B"/>
    <w:rsid w:val="32695A0B"/>
    <w:rsid w:val="326D73A0"/>
    <w:rsid w:val="327A0EC0"/>
    <w:rsid w:val="32821FC4"/>
    <w:rsid w:val="32834602"/>
    <w:rsid w:val="32857368"/>
    <w:rsid w:val="328A6C2A"/>
    <w:rsid w:val="328D0055"/>
    <w:rsid w:val="328E3BC4"/>
    <w:rsid w:val="32B50F73"/>
    <w:rsid w:val="32B90F64"/>
    <w:rsid w:val="32BC4ADD"/>
    <w:rsid w:val="32D37AA1"/>
    <w:rsid w:val="32D83E39"/>
    <w:rsid w:val="32DB21CB"/>
    <w:rsid w:val="32E252FC"/>
    <w:rsid w:val="32EA4A62"/>
    <w:rsid w:val="32F978FC"/>
    <w:rsid w:val="3307663B"/>
    <w:rsid w:val="33087F73"/>
    <w:rsid w:val="330E7C2A"/>
    <w:rsid w:val="331A1D5C"/>
    <w:rsid w:val="33214CD1"/>
    <w:rsid w:val="33286F73"/>
    <w:rsid w:val="332B21BB"/>
    <w:rsid w:val="33356B95"/>
    <w:rsid w:val="333C7F24"/>
    <w:rsid w:val="3343559E"/>
    <w:rsid w:val="334C0213"/>
    <w:rsid w:val="33544C1D"/>
    <w:rsid w:val="33555699"/>
    <w:rsid w:val="336D3266"/>
    <w:rsid w:val="337E0743"/>
    <w:rsid w:val="33843B71"/>
    <w:rsid w:val="338517BE"/>
    <w:rsid w:val="338D3C09"/>
    <w:rsid w:val="339451D9"/>
    <w:rsid w:val="33957634"/>
    <w:rsid w:val="3396590A"/>
    <w:rsid w:val="33A76D5D"/>
    <w:rsid w:val="33B913DF"/>
    <w:rsid w:val="33C833B1"/>
    <w:rsid w:val="33DD64A8"/>
    <w:rsid w:val="33E02FA5"/>
    <w:rsid w:val="33E83C08"/>
    <w:rsid w:val="33EA0FC1"/>
    <w:rsid w:val="33F40CA7"/>
    <w:rsid w:val="340C5F43"/>
    <w:rsid w:val="341267E8"/>
    <w:rsid w:val="3416085D"/>
    <w:rsid w:val="34237FD8"/>
    <w:rsid w:val="343910CD"/>
    <w:rsid w:val="34394463"/>
    <w:rsid w:val="3442078C"/>
    <w:rsid w:val="34451E49"/>
    <w:rsid w:val="34521F12"/>
    <w:rsid w:val="34594B05"/>
    <w:rsid w:val="34880D58"/>
    <w:rsid w:val="348A1163"/>
    <w:rsid w:val="349233D7"/>
    <w:rsid w:val="34936269"/>
    <w:rsid w:val="34A508F6"/>
    <w:rsid w:val="34B54E13"/>
    <w:rsid w:val="34D56C00"/>
    <w:rsid w:val="34D67F04"/>
    <w:rsid w:val="34D80120"/>
    <w:rsid w:val="34DC39D1"/>
    <w:rsid w:val="34DE7D3B"/>
    <w:rsid w:val="34E42621"/>
    <w:rsid w:val="34F36D08"/>
    <w:rsid w:val="35067880"/>
    <w:rsid w:val="35094E4A"/>
    <w:rsid w:val="3516349A"/>
    <w:rsid w:val="35474120"/>
    <w:rsid w:val="354854AF"/>
    <w:rsid w:val="355D7032"/>
    <w:rsid w:val="3575596F"/>
    <w:rsid w:val="357A4D33"/>
    <w:rsid w:val="359A53D6"/>
    <w:rsid w:val="359C73A0"/>
    <w:rsid w:val="35CC2544"/>
    <w:rsid w:val="35CF507F"/>
    <w:rsid w:val="35E93C67"/>
    <w:rsid w:val="35F850AC"/>
    <w:rsid w:val="35FB5B12"/>
    <w:rsid w:val="36010FB1"/>
    <w:rsid w:val="36101C06"/>
    <w:rsid w:val="361A6F31"/>
    <w:rsid w:val="36221470"/>
    <w:rsid w:val="36257395"/>
    <w:rsid w:val="36257888"/>
    <w:rsid w:val="36274FEC"/>
    <w:rsid w:val="36320681"/>
    <w:rsid w:val="363475D8"/>
    <w:rsid w:val="363C7BEA"/>
    <w:rsid w:val="364D5942"/>
    <w:rsid w:val="365A7F9B"/>
    <w:rsid w:val="36661D08"/>
    <w:rsid w:val="36797868"/>
    <w:rsid w:val="367C48AF"/>
    <w:rsid w:val="367F4320"/>
    <w:rsid w:val="369146CC"/>
    <w:rsid w:val="36917A9F"/>
    <w:rsid w:val="369340F0"/>
    <w:rsid w:val="36935B51"/>
    <w:rsid w:val="3699743B"/>
    <w:rsid w:val="369D1D15"/>
    <w:rsid w:val="36AD2ED8"/>
    <w:rsid w:val="36B7236E"/>
    <w:rsid w:val="36BD4910"/>
    <w:rsid w:val="36C546D5"/>
    <w:rsid w:val="36CA3A99"/>
    <w:rsid w:val="36D97016"/>
    <w:rsid w:val="36E64C78"/>
    <w:rsid w:val="36EB2C9D"/>
    <w:rsid w:val="36F5492C"/>
    <w:rsid w:val="36FB7794"/>
    <w:rsid w:val="37081B1F"/>
    <w:rsid w:val="3720190B"/>
    <w:rsid w:val="373F724F"/>
    <w:rsid w:val="375A2153"/>
    <w:rsid w:val="376D2DA2"/>
    <w:rsid w:val="377150F1"/>
    <w:rsid w:val="37763EDD"/>
    <w:rsid w:val="37841E99"/>
    <w:rsid w:val="379408A3"/>
    <w:rsid w:val="379B09FA"/>
    <w:rsid w:val="379E11AD"/>
    <w:rsid w:val="37A84621"/>
    <w:rsid w:val="37C26487"/>
    <w:rsid w:val="37CF7332"/>
    <w:rsid w:val="37D2266D"/>
    <w:rsid w:val="37D4516A"/>
    <w:rsid w:val="37DC2E64"/>
    <w:rsid w:val="37EC7230"/>
    <w:rsid w:val="38016397"/>
    <w:rsid w:val="38086A85"/>
    <w:rsid w:val="380B6072"/>
    <w:rsid w:val="381C6576"/>
    <w:rsid w:val="383B0C52"/>
    <w:rsid w:val="383B6C22"/>
    <w:rsid w:val="38407B19"/>
    <w:rsid w:val="38462667"/>
    <w:rsid w:val="384654A8"/>
    <w:rsid w:val="38474189"/>
    <w:rsid w:val="384D2BD3"/>
    <w:rsid w:val="385A14FE"/>
    <w:rsid w:val="38612777"/>
    <w:rsid w:val="38756DE3"/>
    <w:rsid w:val="38776533"/>
    <w:rsid w:val="387B329C"/>
    <w:rsid w:val="38804D57"/>
    <w:rsid w:val="38926E8A"/>
    <w:rsid w:val="389E51DD"/>
    <w:rsid w:val="38A203CA"/>
    <w:rsid w:val="38A25EEC"/>
    <w:rsid w:val="38A52A35"/>
    <w:rsid w:val="38A70992"/>
    <w:rsid w:val="38C25618"/>
    <w:rsid w:val="38CC3095"/>
    <w:rsid w:val="38D44DA9"/>
    <w:rsid w:val="38DC14F7"/>
    <w:rsid w:val="38E2156D"/>
    <w:rsid w:val="38E602BD"/>
    <w:rsid w:val="38ED03A5"/>
    <w:rsid w:val="38EE3BF8"/>
    <w:rsid w:val="38F33A6F"/>
    <w:rsid w:val="38FE7A29"/>
    <w:rsid w:val="39011211"/>
    <w:rsid w:val="39050745"/>
    <w:rsid w:val="391767BE"/>
    <w:rsid w:val="39241EEA"/>
    <w:rsid w:val="392456E2"/>
    <w:rsid w:val="39337686"/>
    <w:rsid w:val="394903CD"/>
    <w:rsid w:val="394F4876"/>
    <w:rsid w:val="3950248D"/>
    <w:rsid w:val="395E1E25"/>
    <w:rsid w:val="395F496C"/>
    <w:rsid w:val="397C6F74"/>
    <w:rsid w:val="397F609E"/>
    <w:rsid w:val="398166EC"/>
    <w:rsid w:val="398C3287"/>
    <w:rsid w:val="39B93070"/>
    <w:rsid w:val="39CA0ECD"/>
    <w:rsid w:val="39E82AEA"/>
    <w:rsid w:val="39EC3D26"/>
    <w:rsid w:val="39F20325"/>
    <w:rsid w:val="39FE0EE6"/>
    <w:rsid w:val="3A0305DF"/>
    <w:rsid w:val="3A03073A"/>
    <w:rsid w:val="3A2B3150"/>
    <w:rsid w:val="3A2F6096"/>
    <w:rsid w:val="3A3330BC"/>
    <w:rsid w:val="3A4C59B3"/>
    <w:rsid w:val="3A61657F"/>
    <w:rsid w:val="3A7178BF"/>
    <w:rsid w:val="3A897546"/>
    <w:rsid w:val="3AA47EC1"/>
    <w:rsid w:val="3AA96FBC"/>
    <w:rsid w:val="3AAC7CCC"/>
    <w:rsid w:val="3AAE1213"/>
    <w:rsid w:val="3AB90C6C"/>
    <w:rsid w:val="3AD31495"/>
    <w:rsid w:val="3ADD5B0C"/>
    <w:rsid w:val="3AE23F7F"/>
    <w:rsid w:val="3AF17846"/>
    <w:rsid w:val="3AF42953"/>
    <w:rsid w:val="3AFF7502"/>
    <w:rsid w:val="3B0741BF"/>
    <w:rsid w:val="3B0C0B2A"/>
    <w:rsid w:val="3B113181"/>
    <w:rsid w:val="3B1D040D"/>
    <w:rsid w:val="3B241410"/>
    <w:rsid w:val="3B245E6D"/>
    <w:rsid w:val="3B36645E"/>
    <w:rsid w:val="3B40040D"/>
    <w:rsid w:val="3B556027"/>
    <w:rsid w:val="3B5F6EA5"/>
    <w:rsid w:val="3B6174C9"/>
    <w:rsid w:val="3B657EF3"/>
    <w:rsid w:val="3B697D24"/>
    <w:rsid w:val="3B6C6824"/>
    <w:rsid w:val="3B7C2988"/>
    <w:rsid w:val="3B7C7A57"/>
    <w:rsid w:val="3B807132"/>
    <w:rsid w:val="3B904E0B"/>
    <w:rsid w:val="3B954675"/>
    <w:rsid w:val="3BA342F0"/>
    <w:rsid w:val="3BB0163E"/>
    <w:rsid w:val="3BCD6245"/>
    <w:rsid w:val="3BD639A7"/>
    <w:rsid w:val="3BD72EE0"/>
    <w:rsid w:val="3BDF7962"/>
    <w:rsid w:val="3BEF799B"/>
    <w:rsid w:val="3BF43905"/>
    <w:rsid w:val="3BFE2B74"/>
    <w:rsid w:val="3C057788"/>
    <w:rsid w:val="3C0B4937"/>
    <w:rsid w:val="3C1A101E"/>
    <w:rsid w:val="3C1E28BD"/>
    <w:rsid w:val="3C2165AA"/>
    <w:rsid w:val="3C2B6D87"/>
    <w:rsid w:val="3C300842"/>
    <w:rsid w:val="3C442C67"/>
    <w:rsid w:val="3C462551"/>
    <w:rsid w:val="3C5666CB"/>
    <w:rsid w:val="3C577F90"/>
    <w:rsid w:val="3C590615"/>
    <w:rsid w:val="3C5C5193"/>
    <w:rsid w:val="3C601127"/>
    <w:rsid w:val="3C70506D"/>
    <w:rsid w:val="3C776471"/>
    <w:rsid w:val="3C8C13E6"/>
    <w:rsid w:val="3C8F281C"/>
    <w:rsid w:val="3CAD0013"/>
    <w:rsid w:val="3CB30BA5"/>
    <w:rsid w:val="3CB33B4E"/>
    <w:rsid w:val="3CC01BC6"/>
    <w:rsid w:val="3CC046A2"/>
    <w:rsid w:val="3CC35212"/>
    <w:rsid w:val="3CC76CE0"/>
    <w:rsid w:val="3CE84D27"/>
    <w:rsid w:val="3CE9358A"/>
    <w:rsid w:val="3CF1728C"/>
    <w:rsid w:val="3CF415DA"/>
    <w:rsid w:val="3D09609A"/>
    <w:rsid w:val="3D0B3F6C"/>
    <w:rsid w:val="3D0F48FB"/>
    <w:rsid w:val="3D1821FE"/>
    <w:rsid w:val="3D1E069A"/>
    <w:rsid w:val="3D1E4B3E"/>
    <w:rsid w:val="3D2D077E"/>
    <w:rsid w:val="3D3145AD"/>
    <w:rsid w:val="3D786F5F"/>
    <w:rsid w:val="3DA54918"/>
    <w:rsid w:val="3DAA67E8"/>
    <w:rsid w:val="3DB11AD4"/>
    <w:rsid w:val="3DB738B9"/>
    <w:rsid w:val="3DB84953"/>
    <w:rsid w:val="3DBC05DF"/>
    <w:rsid w:val="3DC512A1"/>
    <w:rsid w:val="3DCA470A"/>
    <w:rsid w:val="3DDC1999"/>
    <w:rsid w:val="3DE014A1"/>
    <w:rsid w:val="3E067AAC"/>
    <w:rsid w:val="3E081DDA"/>
    <w:rsid w:val="3E0847CC"/>
    <w:rsid w:val="3E0E070F"/>
    <w:rsid w:val="3E1A60DF"/>
    <w:rsid w:val="3E1B7C8C"/>
    <w:rsid w:val="3E2F37F2"/>
    <w:rsid w:val="3E3541E5"/>
    <w:rsid w:val="3E37029B"/>
    <w:rsid w:val="3E3D0FF4"/>
    <w:rsid w:val="3E68373E"/>
    <w:rsid w:val="3E6E0B6F"/>
    <w:rsid w:val="3E7423E9"/>
    <w:rsid w:val="3E747E4A"/>
    <w:rsid w:val="3E8156FD"/>
    <w:rsid w:val="3E832145"/>
    <w:rsid w:val="3E847DB7"/>
    <w:rsid w:val="3E864749"/>
    <w:rsid w:val="3E8C5DC8"/>
    <w:rsid w:val="3E91236D"/>
    <w:rsid w:val="3E932226"/>
    <w:rsid w:val="3E94799B"/>
    <w:rsid w:val="3E9564A3"/>
    <w:rsid w:val="3E9926CE"/>
    <w:rsid w:val="3E9C3BB7"/>
    <w:rsid w:val="3EBF3958"/>
    <w:rsid w:val="3EC05EAD"/>
    <w:rsid w:val="3ED16309"/>
    <w:rsid w:val="3ED203DA"/>
    <w:rsid w:val="3EE90504"/>
    <w:rsid w:val="3EED7657"/>
    <w:rsid w:val="3F073ADC"/>
    <w:rsid w:val="3F097401"/>
    <w:rsid w:val="3F0C0E52"/>
    <w:rsid w:val="3F0C314A"/>
    <w:rsid w:val="3F204B9E"/>
    <w:rsid w:val="3F23785D"/>
    <w:rsid w:val="3F254FA7"/>
    <w:rsid w:val="3F2A77CA"/>
    <w:rsid w:val="3F303FC2"/>
    <w:rsid w:val="3F486576"/>
    <w:rsid w:val="3F6823A4"/>
    <w:rsid w:val="3F68728D"/>
    <w:rsid w:val="3F696EB6"/>
    <w:rsid w:val="3F7131E6"/>
    <w:rsid w:val="3F7B3080"/>
    <w:rsid w:val="3F8F762D"/>
    <w:rsid w:val="3FA97315"/>
    <w:rsid w:val="3FAC01DF"/>
    <w:rsid w:val="3FB6105E"/>
    <w:rsid w:val="3FC21EBA"/>
    <w:rsid w:val="3FD339BE"/>
    <w:rsid w:val="3FD57736"/>
    <w:rsid w:val="3FDC0668"/>
    <w:rsid w:val="3FE0709E"/>
    <w:rsid w:val="3FEE6E28"/>
    <w:rsid w:val="3FF73FB7"/>
    <w:rsid w:val="3FF83425"/>
    <w:rsid w:val="3FFD6511"/>
    <w:rsid w:val="400E49F6"/>
    <w:rsid w:val="40153791"/>
    <w:rsid w:val="402406BD"/>
    <w:rsid w:val="402772DD"/>
    <w:rsid w:val="4047615A"/>
    <w:rsid w:val="405065B1"/>
    <w:rsid w:val="405368AD"/>
    <w:rsid w:val="40555D6E"/>
    <w:rsid w:val="4057100E"/>
    <w:rsid w:val="405C0E8C"/>
    <w:rsid w:val="40714F85"/>
    <w:rsid w:val="407E686E"/>
    <w:rsid w:val="407F60FD"/>
    <w:rsid w:val="407F76A2"/>
    <w:rsid w:val="40953369"/>
    <w:rsid w:val="409633BB"/>
    <w:rsid w:val="409A0980"/>
    <w:rsid w:val="40B73967"/>
    <w:rsid w:val="40B97D06"/>
    <w:rsid w:val="40BA0E60"/>
    <w:rsid w:val="40C00343"/>
    <w:rsid w:val="40C12F8D"/>
    <w:rsid w:val="40C160A0"/>
    <w:rsid w:val="40C61775"/>
    <w:rsid w:val="40D54E4D"/>
    <w:rsid w:val="40EA4019"/>
    <w:rsid w:val="40EB2F9F"/>
    <w:rsid w:val="40F260C6"/>
    <w:rsid w:val="40F849CD"/>
    <w:rsid w:val="40F91DB5"/>
    <w:rsid w:val="410302D3"/>
    <w:rsid w:val="410339D7"/>
    <w:rsid w:val="41075D15"/>
    <w:rsid w:val="410858E9"/>
    <w:rsid w:val="412C782A"/>
    <w:rsid w:val="413879C7"/>
    <w:rsid w:val="41597EF3"/>
    <w:rsid w:val="415A2C36"/>
    <w:rsid w:val="417C108D"/>
    <w:rsid w:val="41816CDC"/>
    <w:rsid w:val="418331C2"/>
    <w:rsid w:val="4187281E"/>
    <w:rsid w:val="419C61CD"/>
    <w:rsid w:val="419D4D10"/>
    <w:rsid w:val="41AA571C"/>
    <w:rsid w:val="41B94F1D"/>
    <w:rsid w:val="41C06DDF"/>
    <w:rsid w:val="41CC1449"/>
    <w:rsid w:val="41CD07B6"/>
    <w:rsid w:val="41CE268F"/>
    <w:rsid w:val="41DF63CF"/>
    <w:rsid w:val="41E40104"/>
    <w:rsid w:val="41F25DF7"/>
    <w:rsid w:val="41F30347"/>
    <w:rsid w:val="41F769C1"/>
    <w:rsid w:val="42024A2E"/>
    <w:rsid w:val="420A5383"/>
    <w:rsid w:val="420A5DBB"/>
    <w:rsid w:val="420C1FC2"/>
    <w:rsid w:val="421401BF"/>
    <w:rsid w:val="421A1D78"/>
    <w:rsid w:val="421A4B53"/>
    <w:rsid w:val="42252E9D"/>
    <w:rsid w:val="422D4C04"/>
    <w:rsid w:val="42350960"/>
    <w:rsid w:val="423623C2"/>
    <w:rsid w:val="42475D6C"/>
    <w:rsid w:val="42522448"/>
    <w:rsid w:val="42552DC1"/>
    <w:rsid w:val="425E381F"/>
    <w:rsid w:val="42600FED"/>
    <w:rsid w:val="426D0DA2"/>
    <w:rsid w:val="426F40A9"/>
    <w:rsid w:val="427A586D"/>
    <w:rsid w:val="42890EFB"/>
    <w:rsid w:val="428D7077"/>
    <w:rsid w:val="429107E7"/>
    <w:rsid w:val="42926CC6"/>
    <w:rsid w:val="429E4757"/>
    <w:rsid w:val="42A17AFC"/>
    <w:rsid w:val="42AF3129"/>
    <w:rsid w:val="42B27FF2"/>
    <w:rsid w:val="42B31885"/>
    <w:rsid w:val="42BA720B"/>
    <w:rsid w:val="42BC5406"/>
    <w:rsid w:val="42C70F97"/>
    <w:rsid w:val="42D662AE"/>
    <w:rsid w:val="42D83BE5"/>
    <w:rsid w:val="42E02626"/>
    <w:rsid w:val="42E5528F"/>
    <w:rsid w:val="42FF4ACA"/>
    <w:rsid w:val="43070209"/>
    <w:rsid w:val="43222685"/>
    <w:rsid w:val="43301127"/>
    <w:rsid w:val="4335673E"/>
    <w:rsid w:val="43370BA5"/>
    <w:rsid w:val="433C62CC"/>
    <w:rsid w:val="43441269"/>
    <w:rsid w:val="434A747F"/>
    <w:rsid w:val="4352109E"/>
    <w:rsid w:val="436E0318"/>
    <w:rsid w:val="43707776"/>
    <w:rsid w:val="4392273B"/>
    <w:rsid w:val="439300B0"/>
    <w:rsid w:val="439D67BD"/>
    <w:rsid w:val="43A472F0"/>
    <w:rsid w:val="43A85162"/>
    <w:rsid w:val="43AA0EDA"/>
    <w:rsid w:val="43AF4742"/>
    <w:rsid w:val="43B30F2F"/>
    <w:rsid w:val="43BD6E5F"/>
    <w:rsid w:val="43C56943"/>
    <w:rsid w:val="43DE12EE"/>
    <w:rsid w:val="43F850B9"/>
    <w:rsid w:val="43FC7A96"/>
    <w:rsid w:val="440700DA"/>
    <w:rsid w:val="4416031D"/>
    <w:rsid w:val="441A7E0D"/>
    <w:rsid w:val="441B1253"/>
    <w:rsid w:val="441B1F26"/>
    <w:rsid w:val="44254F47"/>
    <w:rsid w:val="44321ED5"/>
    <w:rsid w:val="44380CC6"/>
    <w:rsid w:val="44460A73"/>
    <w:rsid w:val="446B251E"/>
    <w:rsid w:val="446F4684"/>
    <w:rsid w:val="4474119F"/>
    <w:rsid w:val="44771E8B"/>
    <w:rsid w:val="44A81645"/>
    <w:rsid w:val="44CB6AFB"/>
    <w:rsid w:val="44D04BAB"/>
    <w:rsid w:val="44D166BA"/>
    <w:rsid w:val="44D228CD"/>
    <w:rsid w:val="44D709FA"/>
    <w:rsid w:val="44E15001"/>
    <w:rsid w:val="44EC03EA"/>
    <w:rsid w:val="44FF5255"/>
    <w:rsid w:val="45012D7B"/>
    <w:rsid w:val="45025018"/>
    <w:rsid w:val="451C51EF"/>
    <w:rsid w:val="45222911"/>
    <w:rsid w:val="45237196"/>
    <w:rsid w:val="452765B7"/>
    <w:rsid w:val="452B7DF8"/>
    <w:rsid w:val="454268F1"/>
    <w:rsid w:val="454E2968"/>
    <w:rsid w:val="45544149"/>
    <w:rsid w:val="45624FE7"/>
    <w:rsid w:val="457269B9"/>
    <w:rsid w:val="457E261E"/>
    <w:rsid w:val="457F0236"/>
    <w:rsid w:val="458E6941"/>
    <w:rsid w:val="45AA25D0"/>
    <w:rsid w:val="45AF27D7"/>
    <w:rsid w:val="45B43C21"/>
    <w:rsid w:val="45D546F5"/>
    <w:rsid w:val="45E121B9"/>
    <w:rsid w:val="45E20266"/>
    <w:rsid w:val="45E7024F"/>
    <w:rsid w:val="45EA0C71"/>
    <w:rsid w:val="45ED5CEE"/>
    <w:rsid w:val="45EF0D55"/>
    <w:rsid w:val="45F96148"/>
    <w:rsid w:val="4603446F"/>
    <w:rsid w:val="460A10FB"/>
    <w:rsid w:val="46287A7D"/>
    <w:rsid w:val="463B050F"/>
    <w:rsid w:val="464B6403"/>
    <w:rsid w:val="46517B64"/>
    <w:rsid w:val="46546BB9"/>
    <w:rsid w:val="46551658"/>
    <w:rsid w:val="46747316"/>
    <w:rsid w:val="468D5A0C"/>
    <w:rsid w:val="46B00F72"/>
    <w:rsid w:val="46B30FD0"/>
    <w:rsid w:val="46B362F7"/>
    <w:rsid w:val="46CA22AF"/>
    <w:rsid w:val="46DB789C"/>
    <w:rsid w:val="46DE7651"/>
    <w:rsid w:val="46F3217A"/>
    <w:rsid w:val="47176886"/>
    <w:rsid w:val="47213EC9"/>
    <w:rsid w:val="47235525"/>
    <w:rsid w:val="47441C69"/>
    <w:rsid w:val="47576591"/>
    <w:rsid w:val="475C24EB"/>
    <w:rsid w:val="4760647F"/>
    <w:rsid w:val="47665118"/>
    <w:rsid w:val="476A63C8"/>
    <w:rsid w:val="47767A51"/>
    <w:rsid w:val="47857C94"/>
    <w:rsid w:val="47965810"/>
    <w:rsid w:val="479B6F43"/>
    <w:rsid w:val="479B74B7"/>
    <w:rsid w:val="47B265AF"/>
    <w:rsid w:val="47B75005"/>
    <w:rsid w:val="47BE73FC"/>
    <w:rsid w:val="47C13ED6"/>
    <w:rsid w:val="47D352FD"/>
    <w:rsid w:val="47D6229D"/>
    <w:rsid w:val="47F16027"/>
    <w:rsid w:val="47F67697"/>
    <w:rsid w:val="48266FB7"/>
    <w:rsid w:val="4864104F"/>
    <w:rsid w:val="486F26F2"/>
    <w:rsid w:val="487A4866"/>
    <w:rsid w:val="489108BA"/>
    <w:rsid w:val="489413E3"/>
    <w:rsid w:val="489D65CF"/>
    <w:rsid w:val="48AB372A"/>
    <w:rsid w:val="48CA3155"/>
    <w:rsid w:val="48CA6793"/>
    <w:rsid w:val="48DE1BD5"/>
    <w:rsid w:val="49046A5C"/>
    <w:rsid w:val="491712EB"/>
    <w:rsid w:val="491D6188"/>
    <w:rsid w:val="49227C1A"/>
    <w:rsid w:val="49234EA6"/>
    <w:rsid w:val="49282FCC"/>
    <w:rsid w:val="49564747"/>
    <w:rsid w:val="496164DE"/>
    <w:rsid w:val="49654C0F"/>
    <w:rsid w:val="496833C9"/>
    <w:rsid w:val="496D5882"/>
    <w:rsid w:val="49703A35"/>
    <w:rsid w:val="49753D38"/>
    <w:rsid w:val="497B376E"/>
    <w:rsid w:val="497B6A38"/>
    <w:rsid w:val="497F6965"/>
    <w:rsid w:val="49823E07"/>
    <w:rsid w:val="49892D65"/>
    <w:rsid w:val="49BB5BEF"/>
    <w:rsid w:val="49C6428D"/>
    <w:rsid w:val="49C8030C"/>
    <w:rsid w:val="49CE09CD"/>
    <w:rsid w:val="49D61BFB"/>
    <w:rsid w:val="49E10996"/>
    <w:rsid w:val="49E636EC"/>
    <w:rsid w:val="49EA0282"/>
    <w:rsid w:val="49EA64D4"/>
    <w:rsid w:val="49EF67B1"/>
    <w:rsid w:val="49F239BA"/>
    <w:rsid w:val="49F41270"/>
    <w:rsid w:val="49F90166"/>
    <w:rsid w:val="4A0204B8"/>
    <w:rsid w:val="4A0F4546"/>
    <w:rsid w:val="4A1C2405"/>
    <w:rsid w:val="4A254D84"/>
    <w:rsid w:val="4A2D3FC2"/>
    <w:rsid w:val="4A331C29"/>
    <w:rsid w:val="4A3D0C38"/>
    <w:rsid w:val="4A4060F4"/>
    <w:rsid w:val="4A433934"/>
    <w:rsid w:val="4A450EF1"/>
    <w:rsid w:val="4A4704D2"/>
    <w:rsid w:val="4A527BD5"/>
    <w:rsid w:val="4A55038B"/>
    <w:rsid w:val="4A5E657A"/>
    <w:rsid w:val="4A9D70A2"/>
    <w:rsid w:val="4AB665A3"/>
    <w:rsid w:val="4AC33EE4"/>
    <w:rsid w:val="4AC37B41"/>
    <w:rsid w:val="4AE62944"/>
    <w:rsid w:val="4AE65BE7"/>
    <w:rsid w:val="4AE7656F"/>
    <w:rsid w:val="4AEE55F3"/>
    <w:rsid w:val="4AF71603"/>
    <w:rsid w:val="4B05246C"/>
    <w:rsid w:val="4B425E9C"/>
    <w:rsid w:val="4B4267C8"/>
    <w:rsid w:val="4B5F3BAB"/>
    <w:rsid w:val="4B631A61"/>
    <w:rsid w:val="4B6B650B"/>
    <w:rsid w:val="4B6E62AA"/>
    <w:rsid w:val="4B7342A7"/>
    <w:rsid w:val="4B7748C3"/>
    <w:rsid w:val="4B7C7600"/>
    <w:rsid w:val="4B7F1D4E"/>
    <w:rsid w:val="4B85737C"/>
    <w:rsid w:val="4B9D4996"/>
    <w:rsid w:val="4BA315C9"/>
    <w:rsid w:val="4BB533F9"/>
    <w:rsid w:val="4BBA0128"/>
    <w:rsid w:val="4BBD401C"/>
    <w:rsid w:val="4BBE71DC"/>
    <w:rsid w:val="4BCB5E91"/>
    <w:rsid w:val="4BD27220"/>
    <w:rsid w:val="4BD44E1F"/>
    <w:rsid w:val="4BE2468D"/>
    <w:rsid w:val="4C1F6E9E"/>
    <w:rsid w:val="4C3A3796"/>
    <w:rsid w:val="4C4332C5"/>
    <w:rsid w:val="4C434755"/>
    <w:rsid w:val="4C5502AB"/>
    <w:rsid w:val="4C5B0FC3"/>
    <w:rsid w:val="4C777DB1"/>
    <w:rsid w:val="4CA257AF"/>
    <w:rsid w:val="4CA566E2"/>
    <w:rsid w:val="4CB1167B"/>
    <w:rsid w:val="4CBD3A2C"/>
    <w:rsid w:val="4CC40429"/>
    <w:rsid w:val="4CCF550D"/>
    <w:rsid w:val="4CD46FC7"/>
    <w:rsid w:val="4CDE1E67"/>
    <w:rsid w:val="4CDE4F11"/>
    <w:rsid w:val="4CE137CF"/>
    <w:rsid w:val="4CE66D72"/>
    <w:rsid w:val="4CE9627A"/>
    <w:rsid w:val="4CEE0089"/>
    <w:rsid w:val="4CEE1E7C"/>
    <w:rsid w:val="4D0C492A"/>
    <w:rsid w:val="4D0D44CB"/>
    <w:rsid w:val="4D163C3E"/>
    <w:rsid w:val="4D2C0BB1"/>
    <w:rsid w:val="4D2C56C8"/>
    <w:rsid w:val="4D3B5D0F"/>
    <w:rsid w:val="4D435013"/>
    <w:rsid w:val="4D4B6C12"/>
    <w:rsid w:val="4D4D4194"/>
    <w:rsid w:val="4D52686A"/>
    <w:rsid w:val="4D5D520F"/>
    <w:rsid w:val="4D7165BC"/>
    <w:rsid w:val="4D73562E"/>
    <w:rsid w:val="4D7740DC"/>
    <w:rsid w:val="4D7B7443"/>
    <w:rsid w:val="4D7F3F1E"/>
    <w:rsid w:val="4D8C7D44"/>
    <w:rsid w:val="4DBF5582"/>
    <w:rsid w:val="4DC84E5D"/>
    <w:rsid w:val="4DCA5F72"/>
    <w:rsid w:val="4DE118EF"/>
    <w:rsid w:val="4DEC34D2"/>
    <w:rsid w:val="4DF76AE3"/>
    <w:rsid w:val="4E0F66C3"/>
    <w:rsid w:val="4E1259D4"/>
    <w:rsid w:val="4E1C0507"/>
    <w:rsid w:val="4E2842D0"/>
    <w:rsid w:val="4E301D73"/>
    <w:rsid w:val="4E4C150B"/>
    <w:rsid w:val="4E4D4394"/>
    <w:rsid w:val="4E656129"/>
    <w:rsid w:val="4E6E3184"/>
    <w:rsid w:val="4E740A3B"/>
    <w:rsid w:val="4E760336"/>
    <w:rsid w:val="4E772300"/>
    <w:rsid w:val="4E882861"/>
    <w:rsid w:val="4E8C06FB"/>
    <w:rsid w:val="4E964CAD"/>
    <w:rsid w:val="4E9E662E"/>
    <w:rsid w:val="4EA056A9"/>
    <w:rsid w:val="4EA23897"/>
    <w:rsid w:val="4EAC68FA"/>
    <w:rsid w:val="4EAD187E"/>
    <w:rsid w:val="4EAF3848"/>
    <w:rsid w:val="4EB81371"/>
    <w:rsid w:val="4ED137BE"/>
    <w:rsid w:val="4EDA4744"/>
    <w:rsid w:val="4EE2777A"/>
    <w:rsid w:val="4EE97C41"/>
    <w:rsid w:val="4F05790C"/>
    <w:rsid w:val="4F0F2539"/>
    <w:rsid w:val="4F1A33B7"/>
    <w:rsid w:val="4F1B6034"/>
    <w:rsid w:val="4F1E2A7B"/>
    <w:rsid w:val="4F234ED1"/>
    <w:rsid w:val="4F245FE4"/>
    <w:rsid w:val="4F2C43A1"/>
    <w:rsid w:val="4F351F9F"/>
    <w:rsid w:val="4F50251B"/>
    <w:rsid w:val="4F5434AE"/>
    <w:rsid w:val="4F564B0B"/>
    <w:rsid w:val="4F642D54"/>
    <w:rsid w:val="4F672C12"/>
    <w:rsid w:val="4F674123"/>
    <w:rsid w:val="4F6912CD"/>
    <w:rsid w:val="4F6B3C13"/>
    <w:rsid w:val="4F6E04FA"/>
    <w:rsid w:val="4F6E5FF4"/>
    <w:rsid w:val="4F716D4F"/>
    <w:rsid w:val="4F7B0BB9"/>
    <w:rsid w:val="4F7C3E99"/>
    <w:rsid w:val="4F8F1B3D"/>
    <w:rsid w:val="4F954BE1"/>
    <w:rsid w:val="4F990386"/>
    <w:rsid w:val="4FBE01E7"/>
    <w:rsid w:val="4FC11A85"/>
    <w:rsid w:val="4FC5428C"/>
    <w:rsid w:val="4FD02F23"/>
    <w:rsid w:val="4FE722C9"/>
    <w:rsid w:val="4FEA39E8"/>
    <w:rsid w:val="4FF376C2"/>
    <w:rsid w:val="50013973"/>
    <w:rsid w:val="50065FB1"/>
    <w:rsid w:val="5009288C"/>
    <w:rsid w:val="501A3D68"/>
    <w:rsid w:val="502B33A2"/>
    <w:rsid w:val="504A1A7A"/>
    <w:rsid w:val="504C5227"/>
    <w:rsid w:val="504E0549"/>
    <w:rsid w:val="5052092F"/>
    <w:rsid w:val="505C7A00"/>
    <w:rsid w:val="505F63E3"/>
    <w:rsid w:val="5066262C"/>
    <w:rsid w:val="507206D3"/>
    <w:rsid w:val="507B7E86"/>
    <w:rsid w:val="5098335B"/>
    <w:rsid w:val="509B0AD9"/>
    <w:rsid w:val="50A8054F"/>
    <w:rsid w:val="50A82C45"/>
    <w:rsid w:val="50AA42C7"/>
    <w:rsid w:val="50B02961"/>
    <w:rsid w:val="50C4378A"/>
    <w:rsid w:val="50C866AA"/>
    <w:rsid w:val="50D51A09"/>
    <w:rsid w:val="50DC164C"/>
    <w:rsid w:val="50DC4C8A"/>
    <w:rsid w:val="50E05176"/>
    <w:rsid w:val="50E21C1C"/>
    <w:rsid w:val="50E512B9"/>
    <w:rsid w:val="50EF6964"/>
    <w:rsid w:val="50F1639A"/>
    <w:rsid w:val="50F171D4"/>
    <w:rsid w:val="510065DD"/>
    <w:rsid w:val="51134562"/>
    <w:rsid w:val="511F0D8E"/>
    <w:rsid w:val="51340035"/>
    <w:rsid w:val="513714F7"/>
    <w:rsid w:val="5139087E"/>
    <w:rsid w:val="513B7615"/>
    <w:rsid w:val="51431DF8"/>
    <w:rsid w:val="514E7348"/>
    <w:rsid w:val="51850890"/>
    <w:rsid w:val="518F170F"/>
    <w:rsid w:val="51AB479B"/>
    <w:rsid w:val="51AE26BC"/>
    <w:rsid w:val="51BD0971"/>
    <w:rsid w:val="51C635F9"/>
    <w:rsid w:val="51CE5807"/>
    <w:rsid w:val="51D04201"/>
    <w:rsid w:val="51DF0366"/>
    <w:rsid w:val="51E101BC"/>
    <w:rsid w:val="51F12A8A"/>
    <w:rsid w:val="52073A02"/>
    <w:rsid w:val="52262073"/>
    <w:rsid w:val="522B4F1F"/>
    <w:rsid w:val="526C4D2E"/>
    <w:rsid w:val="526E0491"/>
    <w:rsid w:val="526E1A25"/>
    <w:rsid w:val="526F3602"/>
    <w:rsid w:val="527A324D"/>
    <w:rsid w:val="528D1ECB"/>
    <w:rsid w:val="528F161C"/>
    <w:rsid w:val="52AF3FE4"/>
    <w:rsid w:val="52BC3222"/>
    <w:rsid w:val="52BC78D9"/>
    <w:rsid w:val="52CB1DA8"/>
    <w:rsid w:val="52D5298B"/>
    <w:rsid w:val="52D85120"/>
    <w:rsid w:val="52D95337"/>
    <w:rsid w:val="52DB720A"/>
    <w:rsid w:val="52E00474"/>
    <w:rsid w:val="53094079"/>
    <w:rsid w:val="5322283B"/>
    <w:rsid w:val="53234621"/>
    <w:rsid w:val="532F6D06"/>
    <w:rsid w:val="53417424"/>
    <w:rsid w:val="53536E98"/>
    <w:rsid w:val="53563658"/>
    <w:rsid w:val="5358625C"/>
    <w:rsid w:val="53650979"/>
    <w:rsid w:val="536F2B64"/>
    <w:rsid w:val="538C2F28"/>
    <w:rsid w:val="539D0113"/>
    <w:rsid w:val="53A22425"/>
    <w:rsid w:val="53A63401"/>
    <w:rsid w:val="53AE0572"/>
    <w:rsid w:val="53C64FBF"/>
    <w:rsid w:val="53E81E61"/>
    <w:rsid w:val="53F4459D"/>
    <w:rsid w:val="541A0B61"/>
    <w:rsid w:val="542A35A6"/>
    <w:rsid w:val="542B1BC3"/>
    <w:rsid w:val="542D4D13"/>
    <w:rsid w:val="544559FA"/>
    <w:rsid w:val="544B5DC1"/>
    <w:rsid w:val="54513C93"/>
    <w:rsid w:val="54596FEF"/>
    <w:rsid w:val="546C4B31"/>
    <w:rsid w:val="54741CA7"/>
    <w:rsid w:val="54754C98"/>
    <w:rsid w:val="54860FA1"/>
    <w:rsid w:val="548B0C7D"/>
    <w:rsid w:val="54921C42"/>
    <w:rsid w:val="54B849E4"/>
    <w:rsid w:val="54BE6BAE"/>
    <w:rsid w:val="54C86F20"/>
    <w:rsid w:val="54CC36B2"/>
    <w:rsid w:val="54E666E2"/>
    <w:rsid w:val="54EA1131"/>
    <w:rsid w:val="54EA382C"/>
    <w:rsid w:val="54EA7E61"/>
    <w:rsid w:val="54EF18DE"/>
    <w:rsid w:val="54F55D2D"/>
    <w:rsid w:val="5507618C"/>
    <w:rsid w:val="55081F04"/>
    <w:rsid w:val="550B1958"/>
    <w:rsid w:val="55100F3D"/>
    <w:rsid w:val="55102B67"/>
    <w:rsid w:val="551A222C"/>
    <w:rsid w:val="5522368E"/>
    <w:rsid w:val="55326F81"/>
    <w:rsid w:val="553D1FD7"/>
    <w:rsid w:val="554636FD"/>
    <w:rsid w:val="554D5B69"/>
    <w:rsid w:val="5563056F"/>
    <w:rsid w:val="5573455E"/>
    <w:rsid w:val="55792BFF"/>
    <w:rsid w:val="557D3138"/>
    <w:rsid w:val="55820D2C"/>
    <w:rsid w:val="55853555"/>
    <w:rsid w:val="55915A56"/>
    <w:rsid w:val="559A7A46"/>
    <w:rsid w:val="55A45A9F"/>
    <w:rsid w:val="55A932CB"/>
    <w:rsid w:val="55AA7FF4"/>
    <w:rsid w:val="55BB3F63"/>
    <w:rsid w:val="55BC32A6"/>
    <w:rsid w:val="55E04A92"/>
    <w:rsid w:val="55FB7DB6"/>
    <w:rsid w:val="55FF7EB5"/>
    <w:rsid w:val="56217422"/>
    <w:rsid w:val="562C1FA2"/>
    <w:rsid w:val="562C228F"/>
    <w:rsid w:val="56322185"/>
    <w:rsid w:val="563F579E"/>
    <w:rsid w:val="565F1805"/>
    <w:rsid w:val="56657940"/>
    <w:rsid w:val="567333AD"/>
    <w:rsid w:val="567B1BC0"/>
    <w:rsid w:val="567C24C2"/>
    <w:rsid w:val="56813D1C"/>
    <w:rsid w:val="56941CA1"/>
    <w:rsid w:val="569E48CE"/>
    <w:rsid w:val="569F53FE"/>
    <w:rsid w:val="56A135C0"/>
    <w:rsid w:val="56C37E91"/>
    <w:rsid w:val="56C40559"/>
    <w:rsid w:val="56CF5DC1"/>
    <w:rsid w:val="56D00E98"/>
    <w:rsid w:val="56D701D6"/>
    <w:rsid w:val="56DB6038"/>
    <w:rsid w:val="56E322E1"/>
    <w:rsid w:val="56EB388B"/>
    <w:rsid w:val="57055146"/>
    <w:rsid w:val="570E717E"/>
    <w:rsid w:val="571526B6"/>
    <w:rsid w:val="57324EB7"/>
    <w:rsid w:val="5741354C"/>
    <w:rsid w:val="577B4C0F"/>
    <w:rsid w:val="577D0917"/>
    <w:rsid w:val="577F2AA1"/>
    <w:rsid w:val="57831D16"/>
    <w:rsid w:val="57DD31D4"/>
    <w:rsid w:val="57DD4F82"/>
    <w:rsid w:val="58030761"/>
    <w:rsid w:val="58043DEC"/>
    <w:rsid w:val="58047A2A"/>
    <w:rsid w:val="580A4EAB"/>
    <w:rsid w:val="5811020F"/>
    <w:rsid w:val="58127656"/>
    <w:rsid w:val="582153F0"/>
    <w:rsid w:val="583848AE"/>
    <w:rsid w:val="58557C07"/>
    <w:rsid w:val="585605BC"/>
    <w:rsid w:val="58767185"/>
    <w:rsid w:val="587D0513"/>
    <w:rsid w:val="5886386C"/>
    <w:rsid w:val="588900DA"/>
    <w:rsid w:val="589A10C5"/>
    <w:rsid w:val="589C09B9"/>
    <w:rsid w:val="589F481B"/>
    <w:rsid w:val="58B945EC"/>
    <w:rsid w:val="58BC54DF"/>
    <w:rsid w:val="58CC00AC"/>
    <w:rsid w:val="58D323BE"/>
    <w:rsid w:val="58DA5581"/>
    <w:rsid w:val="5905624B"/>
    <w:rsid w:val="59154BEF"/>
    <w:rsid w:val="591C400C"/>
    <w:rsid w:val="592136CE"/>
    <w:rsid w:val="592310BA"/>
    <w:rsid w:val="592F7F53"/>
    <w:rsid w:val="593218D5"/>
    <w:rsid w:val="59345076"/>
    <w:rsid w:val="59362D4C"/>
    <w:rsid w:val="59415A4D"/>
    <w:rsid w:val="59452954"/>
    <w:rsid w:val="5955555F"/>
    <w:rsid w:val="59622E18"/>
    <w:rsid w:val="596248F9"/>
    <w:rsid w:val="596E7497"/>
    <w:rsid w:val="597B15E1"/>
    <w:rsid w:val="5997265A"/>
    <w:rsid w:val="599D23BE"/>
    <w:rsid w:val="59AD3CB3"/>
    <w:rsid w:val="59B47F65"/>
    <w:rsid w:val="59C4508E"/>
    <w:rsid w:val="59C77C98"/>
    <w:rsid w:val="59CB57C7"/>
    <w:rsid w:val="59CC52AE"/>
    <w:rsid w:val="59D336C4"/>
    <w:rsid w:val="59DB3D2E"/>
    <w:rsid w:val="5A18014C"/>
    <w:rsid w:val="5A1924BD"/>
    <w:rsid w:val="5A252C10"/>
    <w:rsid w:val="5A276988"/>
    <w:rsid w:val="5A2A3236"/>
    <w:rsid w:val="5A384B08"/>
    <w:rsid w:val="5A387224"/>
    <w:rsid w:val="5A3930F9"/>
    <w:rsid w:val="5A546E90"/>
    <w:rsid w:val="5A5D24FB"/>
    <w:rsid w:val="5A64198B"/>
    <w:rsid w:val="5A6F205F"/>
    <w:rsid w:val="5A762E3E"/>
    <w:rsid w:val="5A8A765A"/>
    <w:rsid w:val="5AA80B76"/>
    <w:rsid w:val="5AC51D38"/>
    <w:rsid w:val="5AC93C88"/>
    <w:rsid w:val="5AD703AE"/>
    <w:rsid w:val="5ADA5D82"/>
    <w:rsid w:val="5AFB20F1"/>
    <w:rsid w:val="5B162FDD"/>
    <w:rsid w:val="5B1D015E"/>
    <w:rsid w:val="5B21340D"/>
    <w:rsid w:val="5B345801"/>
    <w:rsid w:val="5B5B4D24"/>
    <w:rsid w:val="5B5E4C14"/>
    <w:rsid w:val="5B6A7B7A"/>
    <w:rsid w:val="5B8B2F47"/>
    <w:rsid w:val="5B8C73EB"/>
    <w:rsid w:val="5B9923C7"/>
    <w:rsid w:val="5BA67D81"/>
    <w:rsid w:val="5BB1081F"/>
    <w:rsid w:val="5BB10BFF"/>
    <w:rsid w:val="5BB61CDC"/>
    <w:rsid w:val="5BC55BCA"/>
    <w:rsid w:val="5BC62EA9"/>
    <w:rsid w:val="5BDA6F0A"/>
    <w:rsid w:val="5BDD74C5"/>
    <w:rsid w:val="5BE455C7"/>
    <w:rsid w:val="5BE7521A"/>
    <w:rsid w:val="5C143BAB"/>
    <w:rsid w:val="5C1967A5"/>
    <w:rsid w:val="5C1B33CE"/>
    <w:rsid w:val="5C363B60"/>
    <w:rsid w:val="5C4F5F31"/>
    <w:rsid w:val="5C5B0B6B"/>
    <w:rsid w:val="5C6043D4"/>
    <w:rsid w:val="5C6B2D59"/>
    <w:rsid w:val="5C6D3017"/>
    <w:rsid w:val="5C790441"/>
    <w:rsid w:val="5C7B2FBB"/>
    <w:rsid w:val="5C8251C6"/>
    <w:rsid w:val="5C8400C2"/>
    <w:rsid w:val="5C871FDB"/>
    <w:rsid w:val="5C8956D8"/>
    <w:rsid w:val="5C961A92"/>
    <w:rsid w:val="5CA51BAA"/>
    <w:rsid w:val="5CB33E7D"/>
    <w:rsid w:val="5CB927EA"/>
    <w:rsid w:val="5CD66444"/>
    <w:rsid w:val="5CD9620B"/>
    <w:rsid w:val="5CF13C39"/>
    <w:rsid w:val="5CF54163"/>
    <w:rsid w:val="5CFE7ACF"/>
    <w:rsid w:val="5D046F58"/>
    <w:rsid w:val="5D07484F"/>
    <w:rsid w:val="5D0E613A"/>
    <w:rsid w:val="5D160AAC"/>
    <w:rsid w:val="5D276C9F"/>
    <w:rsid w:val="5D302C9F"/>
    <w:rsid w:val="5D3535CB"/>
    <w:rsid w:val="5D386D50"/>
    <w:rsid w:val="5D3F223B"/>
    <w:rsid w:val="5D435270"/>
    <w:rsid w:val="5D4810F0"/>
    <w:rsid w:val="5D4D0E08"/>
    <w:rsid w:val="5D541157"/>
    <w:rsid w:val="5D5932FD"/>
    <w:rsid w:val="5D796F08"/>
    <w:rsid w:val="5D8B36D2"/>
    <w:rsid w:val="5D977EAC"/>
    <w:rsid w:val="5DB26E94"/>
    <w:rsid w:val="5DB80A0E"/>
    <w:rsid w:val="5DC05617"/>
    <w:rsid w:val="5DD02AD6"/>
    <w:rsid w:val="5DD45079"/>
    <w:rsid w:val="5DDF6561"/>
    <w:rsid w:val="5DE61EBF"/>
    <w:rsid w:val="5DF179D9"/>
    <w:rsid w:val="5E024645"/>
    <w:rsid w:val="5E2561F1"/>
    <w:rsid w:val="5E40270F"/>
    <w:rsid w:val="5E4E1E2C"/>
    <w:rsid w:val="5E653F23"/>
    <w:rsid w:val="5E68201D"/>
    <w:rsid w:val="5E886CDE"/>
    <w:rsid w:val="5E9503BF"/>
    <w:rsid w:val="5E964D1E"/>
    <w:rsid w:val="5EAB2513"/>
    <w:rsid w:val="5EAF0D83"/>
    <w:rsid w:val="5EB6050D"/>
    <w:rsid w:val="5EC529C2"/>
    <w:rsid w:val="5ED35331"/>
    <w:rsid w:val="5ED62D21"/>
    <w:rsid w:val="5EDD61AF"/>
    <w:rsid w:val="5EE56057"/>
    <w:rsid w:val="5EEF3858"/>
    <w:rsid w:val="5F0318FF"/>
    <w:rsid w:val="5F0C439F"/>
    <w:rsid w:val="5F226EEC"/>
    <w:rsid w:val="5F2E07B9"/>
    <w:rsid w:val="5F3F2144"/>
    <w:rsid w:val="5F4B7811"/>
    <w:rsid w:val="5F5234E4"/>
    <w:rsid w:val="5F7F369D"/>
    <w:rsid w:val="5F8605F5"/>
    <w:rsid w:val="5F922CB7"/>
    <w:rsid w:val="5F9C1BC7"/>
    <w:rsid w:val="5FA50C8F"/>
    <w:rsid w:val="5FAF36A8"/>
    <w:rsid w:val="5FB01347"/>
    <w:rsid w:val="5FB66181"/>
    <w:rsid w:val="5FCF3D4A"/>
    <w:rsid w:val="5FE573F6"/>
    <w:rsid w:val="5FEE4BE2"/>
    <w:rsid w:val="5FEF1BF7"/>
    <w:rsid w:val="60011A2A"/>
    <w:rsid w:val="60025ECE"/>
    <w:rsid w:val="60031C46"/>
    <w:rsid w:val="60083A9B"/>
    <w:rsid w:val="600F4681"/>
    <w:rsid w:val="60163727"/>
    <w:rsid w:val="601E25DC"/>
    <w:rsid w:val="6028345A"/>
    <w:rsid w:val="603B4F3C"/>
    <w:rsid w:val="604C0EF7"/>
    <w:rsid w:val="604F4CCA"/>
    <w:rsid w:val="6051475F"/>
    <w:rsid w:val="605E6E7C"/>
    <w:rsid w:val="606F2E37"/>
    <w:rsid w:val="60806DF2"/>
    <w:rsid w:val="60836C11"/>
    <w:rsid w:val="6093447C"/>
    <w:rsid w:val="60997EB4"/>
    <w:rsid w:val="60A56859"/>
    <w:rsid w:val="60AE3EA6"/>
    <w:rsid w:val="60BD07BD"/>
    <w:rsid w:val="60BE4E95"/>
    <w:rsid w:val="60C6435C"/>
    <w:rsid w:val="60DB4B3B"/>
    <w:rsid w:val="60F4333C"/>
    <w:rsid w:val="60F6605A"/>
    <w:rsid w:val="60FE7241"/>
    <w:rsid w:val="61025A59"/>
    <w:rsid w:val="610572F8"/>
    <w:rsid w:val="6107392C"/>
    <w:rsid w:val="610A6B0D"/>
    <w:rsid w:val="61112140"/>
    <w:rsid w:val="61190C6A"/>
    <w:rsid w:val="61300818"/>
    <w:rsid w:val="613D2F35"/>
    <w:rsid w:val="614C4EFF"/>
    <w:rsid w:val="61671FBA"/>
    <w:rsid w:val="616F37D4"/>
    <w:rsid w:val="61700C15"/>
    <w:rsid w:val="61841955"/>
    <w:rsid w:val="619F5BD4"/>
    <w:rsid w:val="61B06987"/>
    <w:rsid w:val="61D251B9"/>
    <w:rsid w:val="61D74A12"/>
    <w:rsid w:val="61D94A0C"/>
    <w:rsid w:val="61E909C7"/>
    <w:rsid w:val="61F96E5C"/>
    <w:rsid w:val="62057E78"/>
    <w:rsid w:val="620A4B83"/>
    <w:rsid w:val="62126170"/>
    <w:rsid w:val="62214E92"/>
    <w:rsid w:val="622814F0"/>
    <w:rsid w:val="622B0FE0"/>
    <w:rsid w:val="62382EC3"/>
    <w:rsid w:val="623A5B3A"/>
    <w:rsid w:val="624448F1"/>
    <w:rsid w:val="62465D15"/>
    <w:rsid w:val="625B65A0"/>
    <w:rsid w:val="62603351"/>
    <w:rsid w:val="62603EAE"/>
    <w:rsid w:val="62665463"/>
    <w:rsid w:val="626A7834"/>
    <w:rsid w:val="62707AB4"/>
    <w:rsid w:val="62765B07"/>
    <w:rsid w:val="62774225"/>
    <w:rsid w:val="628030DA"/>
    <w:rsid w:val="6287090C"/>
    <w:rsid w:val="62894684"/>
    <w:rsid w:val="6299063F"/>
    <w:rsid w:val="62A0552A"/>
    <w:rsid w:val="62A70B3A"/>
    <w:rsid w:val="62EB3A5A"/>
    <w:rsid w:val="62EE124E"/>
    <w:rsid w:val="63045C21"/>
    <w:rsid w:val="63166DD3"/>
    <w:rsid w:val="631D5BD0"/>
    <w:rsid w:val="631E01EC"/>
    <w:rsid w:val="631F0B45"/>
    <w:rsid w:val="631F7C13"/>
    <w:rsid w:val="632D74CA"/>
    <w:rsid w:val="633A3BD0"/>
    <w:rsid w:val="634A091C"/>
    <w:rsid w:val="63510A38"/>
    <w:rsid w:val="63627B32"/>
    <w:rsid w:val="63653A7C"/>
    <w:rsid w:val="63692F24"/>
    <w:rsid w:val="636E73D6"/>
    <w:rsid w:val="63792D7D"/>
    <w:rsid w:val="638938A2"/>
    <w:rsid w:val="639506C2"/>
    <w:rsid w:val="63992F3D"/>
    <w:rsid w:val="639C7A35"/>
    <w:rsid w:val="63A04B38"/>
    <w:rsid w:val="63A3004B"/>
    <w:rsid w:val="63A54F9A"/>
    <w:rsid w:val="63A5515E"/>
    <w:rsid w:val="63BB2FBB"/>
    <w:rsid w:val="63C53DD7"/>
    <w:rsid w:val="63D22ED1"/>
    <w:rsid w:val="63D80CF3"/>
    <w:rsid w:val="63DE4DFD"/>
    <w:rsid w:val="63E55347"/>
    <w:rsid w:val="63E638BD"/>
    <w:rsid w:val="63EF5C43"/>
    <w:rsid w:val="63F06720"/>
    <w:rsid w:val="63F518A5"/>
    <w:rsid w:val="640146EE"/>
    <w:rsid w:val="64103DA1"/>
    <w:rsid w:val="6429647B"/>
    <w:rsid w:val="642D308F"/>
    <w:rsid w:val="64321B1C"/>
    <w:rsid w:val="64373C6C"/>
    <w:rsid w:val="64562D15"/>
    <w:rsid w:val="64631F02"/>
    <w:rsid w:val="648975DE"/>
    <w:rsid w:val="64983BE9"/>
    <w:rsid w:val="649E1F3D"/>
    <w:rsid w:val="64A137DB"/>
    <w:rsid w:val="64DD5DB2"/>
    <w:rsid w:val="64E202B2"/>
    <w:rsid w:val="64E35BA2"/>
    <w:rsid w:val="64F52D8D"/>
    <w:rsid w:val="65196AF6"/>
    <w:rsid w:val="652F0DE7"/>
    <w:rsid w:val="654457B4"/>
    <w:rsid w:val="655068C5"/>
    <w:rsid w:val="65591E05"/>
    <w:rsid w:val="656071F2"/>
    <w:rsid w:val="65615E7B"/>
    <w:rsid w:val="65763CEB"/>
    <w:rsid w:val="65815AE7"/>
    <w:rsid w:val="65845F1F"/>
    <w:rsid w:val="65940562"/>
    <w:rsid w:val="659B28B6"/>
    <w:rsid w:val="65A25A5D"/>
    <w:rsid w:val="65B65064"/>
    <w:rsid w:val="65BD2897"/>
    <w:rsid w:val="65C71241"/>
    <w:rsid w:val="65CC4888"/>
    <w:rsid w:val="65D031BE"/>
    <w:rsid w:val="65DE030D"/>
    <w:rsid w:val="65DF4410"/>
    <w:rsid w:val="65EF15EA"/>
    <w:rsid w:val="660014C1"/>
    <w:rsid w:val="66033642"/>
    <w:rsid w:val="660A5ADC"/>
    <w:rsid w:val="660C5D19"/>
    <w:rsid w:val="66134265"/>
    <w:rsid w:val="66216982"/>
    <w:rsid w:val="66344907"/>
    <w:rsid w:val="663568D1"/>
    <w:rsid w:val="663B7CA5"/>
    <w:rsid w:val="663C2B49"/>
    <w:rsid w:val="663F0DCC"/>
    <w:rsid w:val="663F505A"/>
    <w:rsid w:val="66442670"/>
    <w:rsid w:val="664B39FF"/>
    <w:rsid w:val="664F1741"/>
    <w:rsid w:val="66512014"/>
    <w:rsid w:val="665F2936"/>
    <w:rsid w:val="666265B8"/>
    <w:rsid w:val="66680A54"/>
    <w:rsid w:val="6668688B"/>
    <w:rsid w:val="666B20A5"/>
    <w:rsid w:val="666B40A1"/>
    <w:rsid w:val="667A623B"/>
    <w:rsid w:val="667D6901"/>
    <w:rsid w:val="669B0B75"/>
    <w:rsid w:val="669D5A52"/>
    <w:rsid w:val="669E0C03"/>
    <w:rsid w:val="669F4100"/>
    <w:rsid w:val="66AE46D2"/>
    <w:rsid w:val="66BA2932"/>
    <w:rsid w:val="66C33EDD"/>
    <w:rsid w:val="66E005EB"/>
    <w:rsid w:val="66E4227D"/>
    <w:rsid w:val="66F52880"/>
    <w:rsid w:val="66F71181"/>
    <w:rsid w:val="66FB5032"/>
    <w:rsid w:val="66FE6CC3"/>
    <w:rsid w:val="67006EDF"/>
    <w:rsid w:val="670E33AA"/>
    <w:rsid w:val="67177D85"/>
    <w:rsid w:val="671A24EC"/>
    <w:rsid w:val="67241800"/>
    <w:rsid w:val="674E19F8"/>
    <w:rsid w:val="6757392B"/>
    <w:rsid w:val="678A4ED6"/>
    <w:rsid w:val="679338AF"/>
    <w:rsid w:val="67980EC5"/>
    <w:rsid w:val="67BB08C1"/>
    <w:rsid w:val="67BF46A4"/>
    <w:rsid w:val="67DA10AA"/>
    <w:rsid w:val="67E40A26"/>
    <w:rsid w:val="67F34FF7"/>
    <w:rsid w:val="67FB0246"/>
    <w:rsid w:val="67FB0A92"/>
    <w:rsid w:val="68082BC7"/>
    <w:rsid w:val="6809591F"/>
    <w:rsid w:val="680A5F61"/>
    <w:rsid w:val="68153AD4"/>
    <w:rsid w:val="68234348"/>
    <w:rsid w:val="682C160E"/>
    <w:rsid w:val="682C6D07"/>
    <w:rsid w:val="683A01CF"/>
    <w:rsid w:val="683B395D"/>
    <w:rsid w:val="68442512"/>
    <w:rsid w:val="68490412"/>
    <w:rsid w:val="685F1F4E"/>
    <w:rsid w:val="687A55C6"/>
    <w:rsid w:val="687E455F"/>
    <w:rsid w:val="689D41AE"/>
    <w:rsid w:val="68A7502D"/>
    <w:rsid w:val="68C33D20"/>
    <w:rsid w:val="68C55DFB"/>
    <w:rsid w:val="68C807A0"/>
    <w:rsid w:val="68D423D1"/>
    <w:rsid w:val="68E470A8"/>
    <w:rsid w:val="68E819D9"/>
    <w:rsid w:val="68F0088D"/>
    <w:rsid w:val="68FB4AE5"/>
    <w:rsid w:val="68FE1C40"/>
    <w:rsid w:val="69035A27"/>
    <w:rsid w:val="690600B1"/>
    <w:rsid w:val="690C1B6B"/>
    <w:rsid w:val="690D4335"/>
    <w:rsid w:val="692916EB"/>
    <w:rsid w:val="6932297C"/>
    <w:rsid w:val="6985191D"/>
    <w:rsid w:val="698E2580"/>
    <w:rsid w:val="698E4911"/>
    <w:rsid w:val="698F3680"/>
    <w:rsid w:val="6993276B"/>
    <w:rsid w:val="699E6028"/>
    <w:rsid w:val="69A806EF"/>
    <w:rsid w:val="69BD637C"/>
    <w:rsid w:val="69CD14B6"/>
    <w:rsid w:val="69D27AF5"/>
    <w:rsid w:val="69DD69A5"/>
    <w:rsid w:val="69E44896"/>
    <w:rsid w:val="69EF1D7E"/>
    <w:rsid w:val="69F148BD"/>
    <w:rsid w:val="69F17170"/>
    <w:rsid w:val="69F96AD9"/>
    <w:rsid w:val="69FA10B6"/>
    <w:rsid w:val="6A0A1458"/>
    <w:rsid w:val="6A0E7F88"/>
    <w:rsid w:val="6A217EF0"/>
    <w:rsid w:val="6A22716C"/>
    <w:rsid w:val="6A3271A6"/>
    <w:rsid w:val="6A4E4A0A"/>
    <w:rsid w:val="6A507835"/>
    <w:rsid w:val="6A5246AD"/>
    <w:rsid w:val="6A5437CA"/>
    <w:rsid w:val="6A661319"/>
    <w:rsid w:val="6A6F027D"/>
    <w:rsid w:val="6A78665E"/>
    <w:rsid w:val="6A8A71EB"/>
    <w:rsid w:val="6AB22341"/>
    <w:rsid w:val="6AD704FE"/>
    <w:rsid w:val="6AE00865"/>
    <w:rsid w:val="6AEA6B9E"/>
    <w:rsid w:val="6AEF34F2"/>
    <w:rsid w:val="6B046B2A"/>
    <w:rsid w:val="6B0F5943"/>
    <w:rsid w:val="6B107ADC"/>
    <w:rsid w:val="6B1A4AE4"/>
    <w:rsid w:val="6B4C091F"/>
    <w:rsid w:val="6B4C7DA3"/>
    <w:rsid w:val="6B5B2936"/>
    <w:rsid w:val="6B6A4927"/>
    <w:rsid w:val="6B6D5964"/>
    <w:rsid w:val="6B7C512E"/>
    <w:rsid w:val="6B857ED4"/>
    <w:rsid w:val="6B9F51C5"/>
    <w:rsid w:val="6BA01D5F"/>
    <w:rsid w:val="6BA07844"/>
    <w:rsid w:val="6BAB6BFA"/>
    <w:rsid w:val="6BAD751C"/>
    <w:rsid w:val="6BAF2E89"/>
    <w:rsid w:val="6BC03755"/>
    <w:rsid w:val="6BCF2EE1"/>
    <w:rsid w:val="6BD97E64"/>
    <w:rsid w:val="6BF7464D"/>
    <w:rsid w:val="6BF84629"/>
    <w:rsid w:val="6C02330E"/>
    <w:rsid w:val="6C0C1C2E"/>
    <w:rsid w:val="6C1A3EED"/>
    <w:rsid w:val="6C20148A"/>
    <w:rsid w:val="6C22436F"/>
    <w:rsid w:val="6C2643A7"/>
    <w:rsid w:val="6C27117C"/>
    <w:rsid w:val="6C3F4006"/>
    <w:rsid w:val="6C41576E"/>
    <w:rsid w:val="6C477007"/>
    <w:rsid w:val="6C4F75B6"/>
    <w:rsid w:val="6C5A499B"/>
    <w:rsid w:val="6C5F5F60"/>
    <w:rsid w:val="6C6701BE"/>
    <w:rsid w:val="6C681E3D"/>
    <w:rsid w:val="6C753B51"/>
    <w:rsid w:val="6C797E42"/>
    <w:rsid w:val="6C8B6731"/>
    <w:rsid w:val="6C8F2174"/>
    <w:rsid w:val="6C9901DA"/>
    <w:rsid w:val="6CB174AE"/>
    <w:rsid w:val="6CB40223"/>
    <w:rsid w:val="6CC12C6C"/>
    <w:rsid w:val="6CC16FED"/>
    <w:rsid w:val="6CC429D5"/>
    <w:rsid w:val="6CC8224D"/>
    <w:rsid w:val="6CD209D6"/>
    <w:rsid w:val="6CD30049"/>
    <w:rsid w:val="6CE0261F"/>
    <w:rsid w:val="6CEB697F"/>
    <w:rsid w:val="6CF45859"/>
    <w:rsid w:val="6CFB3710"/>
    <w:rsid w:val="6CFB48E3"/>
    <w:rsid w:val="6D0609E6"/>
    <w:rsid w:val="6D08089B"/>
    <w:rsid w:val="6D17264B"/>
    <w:rsid w:val="6D20450C"/>
    <w:rsid w:val="6D2158FE"/>
    <w:rsid w:val="6D3B19D1"/>
    <w:rsid w:val="6D454822"/>
    <w:rsid w:val="6D4F2026"/>
    <w:rsid w:val="6D6F091A"/>
    <w:rsid w:val="6D717582"/>
    <w:rsid w:val="6D7C2B9C"/>
    <w:rsid w:val="6D7F7A25"/>
    <w:rsid w:val="6D82292A"/>
    <w:rsid w:val="6D9F6A54"/>
    <w:rsid w:val="6DB6785C"/>
    <w:rsid w:val="6DB7222A"/>
    <w:rsid w:val="6DBE53FE"/>
    <w:rsid w:val="6DC15011"/>
    <w:rsid w:val="6DCF07B7"/>
    <w:rsid w:val="6DEB6993"/>
    <w:rsid w:val="6DF901E4"/>
    <w:rsid w:val="6DF96105"/>
    <w:rsid w:val="6DFA189B"/>
    <w:rsid w:val="6DFC0240"/>
    <w:rsid w:val="6E05302D"/>
    <w:rsid w:val="6E056B89"/>
    <w:rsid w:val="6E0F1942"/>
    <w:rsid w:val="6E0F54AD"/>
    <w:rsid w:val="6E3326FA"/>
    <w:rsid w:val="6E3B1F0E"/>
    <w:rsid w:val="6E4C5427"/>
    <w:rsid w:val="6E515A07"/>
    <w:rsid w:val="6E535B46"/>
    <w:rsid w:val="6E5B69FB"/>
    <w:rsid w:val="6E634BB8"/>
    <w:rsid w:val="6E64510D"/>
    <w:rsid w:val="6E6C7053"/>
    <w:rsid w:val="6E8B100D"/>
    <w:rsid w:val="6EB8009F"/>
    <w:rsid w:val="6EC25C13"/>
    <w:rsid w:val="6EC56710"/>
    <w:rsid w:val="6EC84F2F"/>
    <w:rsid w:val="6ED241B4"/>
    <w:rsid w:val="6ED54F57"/>
    <w:rsid w:val="6EE964AB"/>
    <w:rsid w:val="6EF32E85"/>
    <w:rsid w:val="6EF54B48"/>
    <w:rsid w:val="6EF90E63"/>
    <w:rsid w:val="6EFE15CA"/>
    <w:rsid w:val="6F165409"/>
    <w:rsid w:val="6F1B67B5"/>
    <w:rsid w:val="6F277AAE"/>
    <w:rsid w:val="6F2E3B07"/>
    <w:rsid w:val="6F38599F"/>
    <w:rsid w:val="6F5558EE"/>
    <w:rsid w:val="6F5D5743"/>
    <w:rsid w:val="6F604F44"/>
    <w:rsid w:val="6F8B1AA2"/>
    <w:rsid w:val="6F8B4A66"/>
    <w:rsid w:val="6F8C57B4"/>
    <w:rsid w:val="6F8D6E36"/>
    <w:rsid w:val="6FB16BCC"/>
    <w:rsid w:val="6FB20D98"/>
    <w:rsid w:val="6FB84A9F"/>
    <w:rsid w:val="6FC17D52"/>
    <w:rsid w:val="6FDB2297"/>
    <w:rsid w:val="6FDE3B35"/>
    <w:rsid w:val="6FFF04A0"/>
    <w:rsid w:val="700C41FF"/>
    <w:rsid w:val="700C5324"/>
    <w:rsid w:val="70153A5A"/>
    <w:rsid w:val="701A4703"/>
    <w:rsid w:val="703D6AAE"/>
    <w:rsid w:val="703F2826"/>
    <w:rsid w:val="705B5186"/>
    <w:rsid w:val="706358BE"/>
    <w:rsid w:val="7073427E"/>
    <w:rsid w:val="707A1AB0"/>
    <w:rsid w:val="708611C2"/>
    <w:rsid w:val="70BC3E77"/>
    <w:rsid w:val="70D5046D"/>
    <w:rsid w:val="70EE7D53"/>
    <w:rsid w:val="70F34365"/>
    <w:rsid w:val="70F43E4A"/>
    <w:rsid w:val="70F96386"/>
    <w:rsid w:val="70FD1A16"/>
    <w:rsid w:val="70FE7B84"/>
    <w:rsid w:val="71061911"/>
    <w:rsid w:val="710864C2"/>
    <w:rsid w:val="710A37F7"/>
    <w:rsid w:val="711C0454"/>
    <w:rsid w:val="711C66C3"/>
    <w:rsid w:val="712B4B58"/>
    <w:rsid w:val="71303DA9"/>
    <w:rsid w:val="7149434A"/>
    <w:rsid w:val="714B3F77"/>
    <w:rsid w:val="71656FCA"/>
    <w:rsid w:val="716A04E5"/>
    <w:rsid w:val="716F0EE9"/>
    <w:rsid w:val="717A60D4"/>
    <w:rsid w:val="71880C5D"/>
    <w:rsid w:val="718D31B7"/>
    <w:rsid w:val="719E2478"/>
    <w:rsid w:val="719F39D7"/>
    <w:rsid w:val="71A215A9"/>
    <w:rsid w:val="71BC2619"/>
    <w:rsid w:val="71C11867"/>
    <w:rsid w:val="71C61478"/>
    <w:rsid w:val="71C942C6"/>
    <w:rsid w:val="71CF70C0"/>
    <w:rsid w:val="71E06A6D"/>
    <w:rsid w:val="71EA67C2"/>
    <w:rsid w:val="71F349C5"/>
    <w:rsid w:val="71F8229B"/>
    <w:rsid w:val="72025ED5"/>
    <w:rsid w:val="72231CD3"/>
    <w:rsid w:val="72247F25"/>
    <w:rsid w:val="7226345C"/>
    <w:rsid w:val="722E11C0"/>
    <w:rsid w:val="7238577F"/>
    <w:rsid w:val="723932A5"/>
    <w:rsid w:val="72395053"/>
    <w:rsid w:val="72441AC9"/>
    <w:rsid w:val="72477770"/>
    <w:rsid w:val="724D63AB"/>
    <w:rsid w:val="725143B9"/>
    <w:rsid w:val="72553A0C"/>
    <w:rsid w:val="727879B6"/>
    <w:rsid w:val="727C26BD"/>
    <w:rsid w:val="727E6352"/>
    <w:rsid w:val="72807126"/>
    <w:rsid w:val="72865FD7"/>
    <w:rsid w:val="729F135A"/>
    <w:rsid w:val="72A2360B"/>
    <w:rsid w:val="72C708B1"/>
    <w:rsid w:val="72D51220"/>
    <w:rsid w:val="72E158F4"/>
    <w:rsid w:val="72E476B5"/>
    <w:rsid w:val="72E70F53"/>
    <w:rsid w:val="72E76216"/>
    <w:rsid w:val="72E913C0"/>
    <w:rsid w:val="72ED0919"/>
    <w:rsid w:val="72F959E1"/>
    <w:rsid w:val="73031FC5"/>
    <w:rsid w:val="731955B0"/>
    <w:rsid w:val="7320595D"/>
    <w:rsid w:val="732771C8"/>
    <w:rsid w:val="732857F3"/>
    <w:rsid w:val="732A6769"/>
    <w:rsid w:val="732C65AC"/>
    <w:rsid w:val="732E60FE"/>
    <w:rsid w:val="73317C2B"/>
    <w:rsid w:val="73331EF0"/>
    <w:rsid w:val="733E4C72"/>
    <w:rsid w:val="73426E85"/>
    <w:rsid w:val="73465C7A"/>
    <w:rsid w:val="735F6D3B"/>
    <w:rsid w:val="7367134F"/>
    <w:rsid w:val="736B09BB"/>
    <w:rsid w:val="737C12EE"/>
    <w:rsid w:val="738B58EE"/>
    <w:rsid w:val="73914645"/>
    <w:rsid w:val="739553D7"/>
    <w:rsid w:val="73B27FBA"/>
    <w:rsid w:val="73C6500C"/>
    <w:rsid w:val="73D057D2"/>
    <w:rsid w:val="73E545A2"/>
    <w:rsid w:val="73E67988"/>
    <w:rsid w:val="73EF21BC"/>
    <w:rsid w:val="73FE0302"/>
    <w:rsid w:val="74033BE6"/>
    <w:rsid w:val="74072344"/>
    <w:rsid w:val="742064CB"/>
    <w:rsid w:val="74220D3C"/>
    <w:rsid w:val="74244395"/>
    <w:rsid w:val="742B04A4"/>
    <w:rsid w:val="74463A57"/>
    <w:rsid w:val="744B45C1"/>
    <w:rsid w:val="744D4DE6"/>
    <w:rsid w:val="744F43E5"/>
    <w:rsid w:val="744F5B70"/>
    <w:rsid w:val="7485226D"/>
    <w:rsid w:val="749C697C"/>
    <w:rsid w:val="74AC2947"/>
    <w:rsid w:val="74AD3C14"/>
    <w:rsid w:val="74AF5AA0"/>
    <w:rsid w:val="74C62534"/>
    <w:rsid w:val="74F2511E"/>
    <w:rsid w:val="74F91D24"/>
    <w:rsid w:val="750B717B"/>
    <w:rsid w:val="750E6BA9"/>
    <w:rsid w:val="751123F6"/>
    <w:rsid w:val="751678CE"/>
    <w:rsid w:val="751D6EAE"/>
    <w:rsid w:val="75234AF2"/>
    <w:rsid w:val="752C103C"/>
    <w:rsid w:val="75357D54"/>
    <w:rsid w:val="753B1248"/>
    <w:rsid w:val="754B57C9"/>
    <w:rsid w:val="754E126D"/>
    <w:rsid w:val="754F5DE1"/>
    <w:rsid w:val="75681E19"/>
    <w:rsid w:val="75831D21"/>
    <w:rsid w:val="758F49B3"/>
    <w:rsid w:val="75982C83"/>
    <w:rsid w:val="759E1EF0"/>
    <w:rsid w:val="75A25FEF"/>
    <w:rsid w:val="75AB6268"/>
    <w:rsid w:val="75B7239E"/>
    <w:rsid w:val="75C3169F"/>
    <w:rsid w:val="75CE5EA1"/>
    <w:rsid w:val="75F96FD3"/>
    <w:rsid w:val="75FB3E47"/>
    <w:rsid w:val="760360A4"/>
    <w:rsid w:val="760422D2"/>
    <w:rsid w:val="760D0A06"/>
    <w:rsid w:val="760F4A49"/>
    <w:rsid w:val="7612456C"/>
    <w:rsid w:val="761C0F14"/>
    <w:rsid w:val="762762CD"/>
    <w:rsid w:val="7635600C"/>
    <w:rsid w:val="763A1535"/>
    <w:rsid w:val="76452218"/>
    <w:rsid w:val="765E70DC"/>
    <w:rsid w:val="76625752"/>
    <w:rsid w:val="76644C43"/>
    <w:rsid w:val="766525AC"/>
    <w:rsid w:val="766C01D4"/>
    <w:rsid w:val="766D0AD7"/>
    <w:rsid w:val="769919FA"/>
    <w:rsid w:val="76996A64"/>
    <w:rsid w:val="769B452E"/>
    <w:rsid w:val="769E5DCD"/>
    <w:rsid w:val="76BB5304"/>
    <w:rsid w:val="76BE2A1F"/>
    <w:rsid w:val="76C27D0D"/>
    <w:rsid w:val="76D04E65"/>
    <w:rsid w:val="76D238D0"/>
    <w:rsid w:val="76DF08BF"/>
    <w:rsid w:val="76EF4915"/>
    <w:rsid w:val="76EF6604"/>
    <w:rsid w:val="770A4DBF"/>
    <w:rsid w:val="772938E8"/>
    <w:rsid w:val="77337706"/>
    <w:rsid w:val="773521BD"/>
    <w:rsid w:val="77423E1E"/>
    <w:rsid w:val="774E68B0"/>
    <w:rsid w:val="77591706"/>
    <w:rsid w:val="775C474E"/>
    <w:rsid w:val="77753D8F"/>
    <w:rsid w:val="77785EA7"/>
    <w:rsid w:val="779E031E"/>
    <w:rsid w:val="77A345CB"/>
    <w:rsid w:val="77B63DB5"/>
    <w:rsid w:val="77C73D4B"/>
    <w:rsid w:val="77C90C27"/>
    <w:rsid w:val="77CE7200"/>
    <w:rsid w:val="77E24DCB"/>
    <w:rsid w:val="77F35CA4"/>
    <w:rsid w:val="77F6332D"/>
    <w:rsid w:val="78090150"/>
    <w:rsid w:val="78132251"/>
    <w:rsid w:val="781520BE"/>
    <w:rsid w:val="781A0DA5"/>
    <w:rsid w:val="782642CC"/>
    <w:rsid w:val="7826607A"/>
    <w:rsid w:val="78281DF2"/>
    <w:rsid w:val="782C7B94"/>
    <w:rsid w:val="782D4318"/>
    <w:rsid w:val="78406214"/>
    <w:rsid w:val="784309DA"/>
    <w:rsid w:val="784B3677"/>
    <w:rsid w:val="785231D0"/>
    <w:rsid w:val="78574485"/>
    <w:rsid w:val="78737930"/>
    <w:rsid w:val="789D4139"/>
    <w:rsid w:val="78B418D9"/>
    <w:rsid w:val="78BA6329"/>
    <w:rsid w:val="78BC200F"/>
    <w:rsid w:val="78BE2756"/>
    <w:rsid w:val="78D45DD0"/>
    <w:rsid w:val="78D87374"/>
    <w:rsid w:val="78DB550B"/>
    <w:rsid w:val="78E21CFE"/>
    <w:rsid w:val="78EC464B"/>
    <w:rsid w:val="78F76A3D"/>
    <w:rsid w:val="78FC67C1"/>
    <w:rsid w:val="78FD6DDA"/>
    <w:rsid w:val="78FE4234"/>
    <w:rsid w:val="78FE54EF"/>
    <w:rsid w:val="78FE5CD7"/>
    <w:rsid w:val="792E51E6"/>
    <w:rsid w:val="79385DD5"/>
    <w:rsid w:val="79396336"/>
    <w:rsid w:val="7945357D"/>
    <w:rsid w:val="794559D8"/>
    <w:rsid w:val="795409C4"/>
    <w:rsid w:val="79570BE0"/>
    <w:rsid w:val="795F37FA"/>
    <w:rsid w:val="798F6D86"/>
    <w:rsid w:val="79911640"/>
    <w:rsid w:val="79943C6D"/>
    <w:rsid w:val="79A47B9E"/>
    <w:rsid w:val="79A9134B"/>
    <w:rsid w:val="79A9354F"/>
    <w:rsid w:val="79AE27CB"/>
    <w:rsid w:val="79BA4CCB"/>
    <w:rsid w:val="79C14D50"/>
    <w:rsid w:val="79CE500B"/>
    <w:rsid w:val="79D20FEE"/>
    <w:rsid w:val="79E75577"/>
    <w:rsid w:val="79FC1788"/>
    <w:rsid w:val="7A0128FA"/>
    <w:rsid w:val="7A061274"/>
    <w:rsid w:val="7A066163"/>
    <w:rsid w:val="7A077F60"/>
    <w:rsid w:val="7A0917AF"/>
    <w:rsid w:val="7A150154"/>
    <w:rsid w:val="7A162166"/>
    <w:rsid w:val="7A1C2BC0"/>
    <w:rsid w:val="7A283CB1"/>
    <w:rsid w:val="7A344A7F"/>
    <w:rsid w:val="7A374CE3"/>
    <w:rsid w:val="7A595D16"/>
    <w:rsid w:val="7A621EC5"/>
    <w:rsid w:val="7A643CD7"/>
    <w:rsid w:val="7A65786F"/>
    <w:rsid w:val="7A682979"/>
    <w:rsid w:val="7A772BBC"/>
    <w:rsid w:val="7A8467D6"/>
    <w:rsid w:val="7A984CF8"/>
    <w:rsid w:val="7AA337CF"/>
    <w:rsid w:val="7AAD5F02"/>
    <w:rsid w:val="7AAD7226"/>
    <w:rsid w:val="7AAD7CE7"/>
    <w:rsid w:val="7ABE6A3D"/>
    <w:rsid w:val="7AC54380"/>
    <w:rsid w:val="7AC6689E"/>
    <w:rsid w:val="7AD02E36"/>
    <w:rsid w:val="7AD50F5F"/>
    <w:rsid w:val="7AD93877"/>
    <w:rsid w:val="7ADD1BA5"/>
    <w:rsid w:val="7AF070FA"/>
    <w:rsid w:val="7AF406B1"/>
    <w:rsid w:val="7AF4245F"/>
    <w:rsid w:val="7AFD1314"/>
    <w:rsid w:val="7B0C1557"/>
    <w:rsid w:val="7B131D54"/>
    <w:rsid w:val="7B1B3E90"/>
    <w:rsid w:val="7B205002"/>
    <w:rsid w:val="7B220D7A"/>
    <w:rsid w:val="7B222136"/>
    <w:rsid w:val="7B281214"/>
    <w:rsid w:val="7B333805"/>
    <w:rsid w:val="7B3A2568"/>
    <w:rsid w:val="7B4A1591"/>
    <w:rsid w:val="7B4C5DF7"/>
    <w:rsid w:val="7B5F45E2"/>
    <w:rsid w:val="7B615D46"/>
    <w:rsid w:val="7B7268A6"/>
    <w:rsid w:val="7B897830"/>
    <w:rsid w:val="7B9D1C2F"/>
    <w:rsid w:val="7B9E3D0D"/>
    <w:rsid w:val="7BA2010D"/>
    <w:rsid w:val="7BAB5214"/>
    <w:rsid w:val="7BAF41F7"/>
    <w:rsid w:val="7BB0282A"/>
    <w:rsid w:val="7BB5399C"/>
    <w:rsid w:val="7BB73843"/>
    <w:rsid w:val="7BBA0FB3"/>
    <w:rsid w:val="7BBC1C9A"/>
    <w:rsid w:val="7BC167E5"/>
    <w:rsid w:val="7BDA78A7"/>
    <w:rsid w:val="7BDE750D"/>
    <w:rsid w:val="7BE349AD"/>
    <w:rsid w:val="7C0447BD"/>
    <w:rsid w:val="7C0E12FE"/>
    <w:rsid w:val="7C0E1563"/>
    <w:rsid w:val="7C2154D6"/>
    <w:rsid w:val="7C236CE5"/>
    <w:rsid w:val="7C310CB0"/>
    <w:rsid w:val="7C3D08BA"/>
    <w:rsid w:val="7C4B4301"/>
    <w:rsid w:val="7C532BE5"/>
    <w:rsid w:val="7C5730C0"/>
    <w:rsid w:val="7C661910"/>
    <w:rsid w:val="7C8415C1"/>
    <w:rsid w:val="7C8E41ED"/>
    <w:rsid w:val="7C913D1A"/>
    <w:rsid w:val="7C935F3C"/>
    <w:rsid w:val="7C936D38"/>
    <w:rsid w:val="7C977F10"/>
    <w:rsid w:val="7CA0289E"/>
    <w:rsid w:val="7CC55AE2"/>
    <w:rsid w:val="7CC8486F"/>
    <w:rsid w:val="7CD567A1"/>
    <w:rsid w:val="7CD7575D"/>
    <w:rsid w:val="7CD9190C"/>
    <w:rsid w:val="7CE04B7D"/>
    <w:rsid w:val="7CE12711"/>
    <w:rsid w:val="7CE50938"/>
    <w:rsid w:val="7CED7166"/>
    <w:rsid w:val="7D0179D1"/>
    <w:rsid w:val="7D025236"/>
    <w:rsid w:val="7D2E7EAA"/>
    <w:rsid w:val="7D3E71EA"/>
    <w:rsid w:val="7D411A44"/>
    <w:rsid w:val="7D4A6006"/>
    <w:rsid w:val="7D4B7628"/>
    <w:rsid w:val="7D551348"/>
    <w:rsid w:val="7D553C43"/>
    <w:rsid w:val="7D690EE2"/>
    <w:rsid w:val="7D6A7876"/>
    <w:rsid w:val="7D6E64F9"/>
    <w:rsid w:val="7D8B26DC"/>
    <w:rsid w:val="7D8E01D6"/>
    <w:rsid w:val="7D8E26F7"/>
    <w:rsid w:val="7D910EF3"/>
    <w:rsid w:val="7D9A2A39"/>
    <w:rsid w:val="7DA243F4"/>
    <w:rsid w:val="7DAB4C6B"/>
    <w:rsid w:val="7DCD00FC"/>
    <w:rsid w:val="7DD20A36"/>
    <w:rsid w:val="7DD33735"/>
    <w:rsid w:val="7DD7431B"/>
    <w:rsid w:val="7DEB652E"/>
    <w:rsid w:val="7DFA7D8C"/>
    <w:rsid w:val="7E025A91"/>
    <w:rsid w:val="7E1C1010"/>
    <w:rsid w:val="7E256664"/>
    <w:rsid w:val="7E272D9B"/>
    <w:rsid w:val="7E357016"/>
    <w:rsid w:val="7E3C03A5"/>
    <w:rsid w:val="7E3E094E"/>
    <w:rsid w:val="7E42621B"/>
    <w:rsid w:val="7E461224"/>
    <w:rsid w:val="7E5B6E67"/>
    <w:rsid w:val="7E6800AC"/>
    <w:rsid w:val="7E7D4528"/>
    <w:rsid w:val="7EB7465B"/>
    <w:rsid w:val="7EC07C5D"/>
    <w:rsid w:val="7EC11C74"/>
    <w:rsid w:val="7EC42148"/>
    <w:rsid w:val="7ED43B4B"/>
    <w:rsid w:val="7EE41755"/>
    <w:rsid w:val="7EE90C95"/>
    <w:rsid w:val="7EF667A6"/>
    <w:rsid w:val="7F0013D2"/>
    <w:rsid w:val="7F0C5D61"/>
    <w:rsid w:val="7F0F5DA1"/>
    <w:rsid w:val="7F1442C0"/>
    <w:rsid w:val="7F211C5D"/>
    <w:rsid w:val="7F3F4FAE"/>
    <w:rsid w:val="7F41760E"/>
    <w:rsid w:val="7F423F91"/>
    <w:rsid w:val="7F440DA2"/>
    <w:rsid w:val="7F4F5993"/>
    <w:rsid w:val="7F5573E1"/>
    <w:rsid w:val="7F5E434B"/>
    <w:rsid w:val="7F8D69DE"/>
    <w:rsid w:val="7F9369F0"/>
    <w:rsid w:val="7F945FBF"/>
    <w:rsid w:val="7F967F89"/>
    <w:rsid w:val="7F9D775B"/>
    <w:rsid w:val="7FA404BA"/>
    <w:rsid w:val="7FB10B62"/>
    <w:rsid w:val="7FC248DA"/>
    <w:rsid w:val="7FC27FEB"/>
    <w:rsid w:val="7FC73F4A"/>
    <w:rsid w:val="7FCA17EF"/>
    <w:rsid w:val="7FF64D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0"/>
    <w:qFormat/>
    <w:uiPriority w:val="0"/>
    <w:pPr>
      <w:keepNext/>
      <w:keepLines/>
      <w:spacing w:line="576" w:lineRule="auto"/>
      <w:outlineLvl w:val="0"/>
    </w:pPr>
    <w:rPr>
      <w:b/>
      <w:kern w:val="44"/>
      <w:sz w:val="44"/>
    </w:rPr>
  </w:style>
  <w:style w:type="paragraph" w:styleId="5">
    <w:name w:val="heading 2"/>
    <w:basedOn w:val="1"/>
    <w:next w:val="1"/>
    <w:link w:val="40"/>
    <w:unhideWhenUsed/>
    <w:qFormat/>
    <w:uiPriority w:val="0"/>
    <w:pPr>
      <w:keepNext/>
      <w:keepLines/>
      <w:spacing w:line="413" w:lineRule="auto"/>
      <w:outlineLvl w:val="1"/>
    </w:pPr>
    <w:rPr>
      <w:rFonts w:ascii="Arial" w:hAnsi="Arial" w:eastAsia="黑体"/>
      <w:b/>
      <w:sz w:val="32"/>
    </w:rPr>
  </w:style>
  <w:style w:type="paragraph" w:styleId="6">
    <w:name w:val="heading 3"/>
    <w:basedOn w:val="1"/>
    <w:next w:val="1"/>
    <w:unhideWhenUsed/>
    <w:qFormat/>
    <w:uiPriority w:val="0"/>
    <w:pPr>
      <w:keepNext/>
      <w:keepLines/>
      <w:numPr>
        <w:ilvl w:val="2"/>
        <w:numId w:val="1"/>
      </w:numPr>
      <w:spacing w:line="413" w:lineRule="auto"/>
      <w:outlineLvl w:val="2"/>
    </w:pPr>
    <w:rPr>
      <w:b/>
      <w:sz w:val="32"/>
    </w:rPr>
  </w:style>
  <w:style w:type="paragraph" w:styleId="7">
    <w:name w:val="heading 4"/>
    <w:next w:val="1"/>
    <w:qFormat/>
    <w:uiPriority w:val="0"/>
    <w:pPr>
      <w:spacing w:after="200" w:line="341" w:lineRule="auto"/>
      <w:ind w:left="864" w:hanging="864"/>
      <w:outlineLvl w:val="3"/>
    </w:pPr>
    <w:rPr>
      <w:rFonts w:hint="eastAsia" w:ascii="微软雅黑" w:hAnsi="微软雅黑" w:eastAsia="微软雅黑" w:cs="微软雅黑"/>
      <w:b/>
      <w:bCs/>
      <w:kern w:val="2"/>
      <w:sz w:val="21"/>
      <w:szCs w:val="28"/>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3"/>
    <w:next w:val="1"/>
    <w:qFormat/>
    <w:uiPriority w:val="0"/>
    <w:pPr>
      <w:ind w:firstLine="420" w:firstLineChars="200"/>
    </w:pPr>
  </w:style>
  <w:style w:type="paragraph" w:customStyle="1" w:styleId="3">
    <w:name w:val="Normal_1"/>
    <w:qFormat/>
    <w:uiPriority w:val="0"/>
    <w:pPr>
      <w:widowControl w:val="0"/>
      <w:jc w:val="both"/>
    </w:pPr>
    <w:rPr>
      <w:rFonts w:ascii="Calibri" w:hAnsi="Calibri" w:eastAsia="宋体" w:cs="Times New Roman"/>
      <w:lang w:val="en-US" w:eastAsia="zh-CN" w:bidi="ar-SA"/>
    </w:rPr>
  </w:style>
  <w:style w:type="paragraph" w:styleId="8">
    <w:name w:val="Document Map"/>
    <w:basedOn w:val="1"/>
    <w:unhideWhenUsed/>
    <w:qFormat/>
    <w:uiPriority w:val="99"/>
    <w:rPr>
      <w:rFonts w:ascii="宋体" w:hAnsi="Times New Roman" w:eastAsia="宋体" w:cs="Times New Roman"/>
      <w:sz w:val="18"/>
      <w:szCs w:val="18"/>
    </w:rPr>
  </w:style>
  <w:style w:type="paragraph" w:styleId="9">
    <w:name w:val="Body Text"/>
    <w:basedOn w:val="1"/>
    <w:next w:val="1"/>
    <w:qFormat/>
    <w:uiPriority w:val="99"/>
    <w:pPr>
      <w:spacing w:after="120"/>
    </w:pPr>
    <w:rPr>
      <w:rFonts w:ascii="Times New Roman" w:hAnsi="Times New Roman" w:eastAsia="宋体" w:cs="Times New Roman"/>
    </w:rPr>
  </w:style>
  <w:style w:type="paragraph" w:styleId="10">
    <w:name w:val="Body Text Indent"/>
    <w:basedOn w:val="1"/>
    <w:qFormat/>
    <w:uiPriority w:val="0"/>
    <w:pPr>
      <w:ind w:firstLine="200" w:firstLineChars="200"/>
      <w:jc w:val="left"/>
    </w:pPr>
    <w:rPr>
      <w:rFonts w:ascii="仿宋_GB2312" w:eastAsia="仿宋_GB2312"/>
      <w:sz w:val="28"/>
    </w:rPr>
  </w:style>
  <w:style w:type="paragraph" w:styleId="11">
    <w:name w:val="Block Text"/>
    <w:basedOn w:val="1"/>
    <w:qFormat/>
    <w:uiPriority w:val="0"/>
    <w:pPr>
      <w:widowControl/>
      <w:spacing w:after="120"/>
      <w:ind w:left="1440" w:leftChars="700" w:right="1440" w:rightChars="700"/>
      <w:jc w:val="left"/>
    </w:pPr>
    <w:rPr>
      <w:kern w:val="0"/>
      <w:sz w:val="20"/>
    </w:rPr>
  </w:style>
  <w:style w:type="paragraph" w:styleId="12">
    <w:name w:val="List Bullet 2"/>
    <w:basedOn w:val="1"/>
    <w:qFormat/>
    <w:uiPriority w:val="0"/>
    <w:pPr>
      <w:numPr>
        <w:ilvl w:val="0"/>
        <w:numId w:val="2"/>
      </w:numPr>
    </w:pPr>
  </w:style>
  <w:style w:type="paragraph" w:styleId="13">
    <w:name w:val="toc 3"/>
    <w:basedOn w:val="1"/>
    <w:next w:val="1"/>
    <w:qFormat/>
    <w:uiPriority w:val="0"/>
    <w:pPr>
      <w:ind w:left="840" w:leftChars="400"/>
    </w:pPr>
  </w:style>
  <w:style w:type="paragraph" w:styleId="14">
    <w:name w:val="Plain Text"/>
    <w:basedOn w:val="1"/>
    <w:next w:val="1"/>
    <w:qFormat/>
    <w:uiPriority w:val="0"/>
    <w:rPr>
      <w:rFonts w:ascii="宋体" w:hAnsi="Courier New"/>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Body Text Indent 3"/>
    <w:qFormat/>
    <w:uiPriority w:val="0"/>
    <w:pPr>
      <w:widowControl w:val="0"/>
      <w:tabs>
        <w:tab w:val="left" w:pos="900"/>
      </w:tabs>
      <w:spacing w:after="200" w:line="360" w:lineRule="auto"/>
      <w:ind w:left="2160" w:leftChars="1028" w:hanging="1"/>
      <w:jc w:val="both"/>
    </w:pPr>
    <w:rPr>
      <w:rFonts w:hint="eastAsia" w:ascii="仿宋_GB2312" w:hAnsi="Times New Roman" w:eastAsia="仿宋_GB2312" w:cs="Times New Roman"/>
      <w:bCs/>
      <w:kern w:val="2"/>
      <w:sz w:val="28"/>
      <w:szCs w:val="24"/>
      <w:lang w:val="en-US" w:eastAsia="zh-CN" w:bidi="ar-SA"/>
    </w:rPr>
  </w:style>
  <w:style w:type="paragraph" w:styleId="19">
    <w:name w:val="toc 2"/>
    <w:basedOn w:val="1"/>
    <w:next w:val="1"/>
    <w:qFormat/>
    <w:uiPriority w:val="39"/>
    <w:pPr>
      <w:ind w:left="420" w:leftChars="200"/>
    </w:pPr>
  </w:style>
  <w:style w:type="paragraph" w:styleId="20">
    <w:name w:val="Body Text 2"/>
    <w:qFormat/>
    <w:uiPriority w:val="0"/>
    <w:pPr>
      <w:widowControl w:val="0"/>
      <w:spacing w:line="480" w:lineRule="auto"/>
      <w:jc w:val="both"/>
    </w:pPr>
    <w:rPr>
      <w:rFonts w:ascii="Times New Roman" w:hAnsi="Times New Roman" w:eastAsia="宋体" w:cs="Times New Roman"/>
      <w:kern w:val="2"/>
      <w:sz w:val="21"/>
      <w:szCs w:val="24"/>
      <w:lang w:val="en-US" w:eastAsia="zh-CN" w:bidi="ar-SA"/>
    </w:rPr>
  </w:style>
  <w:style w:type="paragraph" w:styleId="21">
    <w:name w:val="Normal (Web)"/>
    <w:basedOn w:val="1"/>
    <w:qFormat/>
    <w:uiPriority w:val="0"/>
    <w:pPr>
      <w:spacing w:beforeAutospacing="1" w:afterAutospacing="1"/>
      <w:jc w:val="left"/>
    </w:pPr>
    <w:rPr>
      <w:rFonts w:cs="Times New Roman"/>
      <w:kern w:val="0"/>
      <w:sz w:val="24"/>
    </w:rPr>
  </w:style>
  <w:style w:type="paragraph" w:styleId="22">
    <w:name w:val="index 1"/>
    <w:next w:val="1"/>
    <w:semiHidden/>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3">
    <w:name w:val="Title"/>
    <w:basedOn w:val="1"/>
    <w:next w:val="1"/>
    <w:qFormat/>
    <w:uiPriority w:val="10"/>
    <w:pPr>
      <w:spacing w:before="240" w:after="60"/>
      <w:jc w:val="center"/>
      <w:outlineLvl w:val="0"/>
    </w:pPr>
    <w:rPr>
      <w:rFonts w:ascii="Cambria" w:hAnsi="Cambria"/>
      <w:b/>
      <w:bCs/>
      <w:sz w:val="32"/>
      <w:szCs w:val="32"/>
    </w:rPr>
  </w:style>
  <w:style w:type="paragraph" w:styleId="24">
    <w:name w:val="Body Text First Indent 2"/>
    <w:basedOn w:val="10"/>
    <w:qFormat/>
    <w:uiPriority w:val="0"/>
    <w:pPr>
      <w:spacing w:line="360" w:lineRule="auto"/>
      <w:ind w:firstLine="420"/>
    </w:pPr>
    <w:rPr>
      <w:rFonts w:hAnsi="宋体"/>
    </w:rPr>
  </w:style>
  <w:style w:type="table" w:styleId="2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8">
    <w:name w:val="Strong"/>
    <w:basedOn w:val="27"/>
    <w:qFormat/>
    <w:uiPriority w:val="0"/>
    <w:rPr>
      <w:b/>
    </w:rPr>
  </w:style>
  <w:style w:type="character" w:styleId="29">
    <w:name w:val="Hyperlink"/>
    <w:basedOn w:val="27"/>
    <w:qFormat/>
    <w:uiPriority w:val="99"/>
    <w:rPr>
      <w:color w:val="0000FF"/>
      <w:u w:val="single"/>
    </w:rPr>
  </w:style>
  <w:style w:type="character" w:customStyle="1" w:styleId="30">
    <w:name w:val="标题 1 Char"/>
    <w:link w:val="4"/>
    <w:qFormat/>
    <w:uiPriority w:val="0"/>
    <w:rPr>
      <w:b/>
      <w:kern w:val="44"/>
      <w:sz w:val="44"/>
    </w:rPr>
  </w:style>
  <w:style w:type="paragraph" w:customStyle="1" w:styleId="31">
    <w:name w:val="Default"/>
    <w:qFormat/>
    <w:uiPriority w:val="99"/>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32">
    <w:name w:val="标题 2 Char"/>
    <w:link w:val="5"/>
    <w:qFormat/>
    <w:uiPriority w:val="0"/>
    <w:rPr>
      <w:rFonts w:ascii="Arial" w:hAnsi="Arial" w:eastAsia="黑体"/>
      <w:b/>
      <w:sz w:val="32"/>
    </w:rPr>
  </w:style>
  <w:style w:type="paragraph" w:customStyle="1" w:styleId="33">
    <w:name w:val="Table Paragraph"/>
    <w:basedOn w:val="1"/>
    <w:qFormat/>
    <w:uiPriority w:val="1"/>
  </w:style>
  <w:style w:type="paragraph" w:customStyle="1" w:styleId="3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35">
    <w:name w:val="List Paragraph"/>
    <w:basedOn w:val="1"/>
    <w:qFormat/>
    <w:uiPriority w:val="0"/>
    <w:pPr>
      <w:ind w:firstLine="420" w:firstLineChars="200"/>
    </w:pPr>
    <w:rPr>
      <w:rFonts w:ascii="Calibri" w:hAnsi="Calibri" w:eastAsia="宋体" w:cs="Times New Roman"/>
      <w:szCs w:val="22"/>
    </w:rPr>
  </w:style>
  <w:style w:type="paragraph" w:customStyle="1" w:styleId="36">
    <w:name w:val="正文1"/>
    <w:basedOn w:val="1"/>
    <w:next w:val="1"/>
    <w:qFormat/>
    <w:uiPriority w:val="0"/>
    <w:pPr>
      <w:spacing w:line="360" w:lineRule="auto"/>
      <w:ind w:firstLine="480" w:firstLineChars="200"/>
    </w:pPr>
    <w:rPr>
      <w:sz w:val="24"/>
    </w:rPr>
  </w:style>
  <w:style w:type="paragraph" w:customStyle="1" w:styleId="37">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font01"/>
    <w:basedOn w:val="27"/>
    <w:qFormat/>
    <w:uiPriority w:val="0"/>
    <w:rPr>
      <w:rFonts w:ascii="Arial" w:hAnsi="Arial" w:cs="Arial"/>
      <w:color w:val="000000"/>
      <w:sz w:val="20"/>
      <w:szCs w:val="20"/>
      <w:u w:val="none"/>
    </w:rPr>
  </w:style>
  <w:style w:type="character" w:customStyle="1" w:styleId="39">
    <w:name w:val="font41"/>
    <w:basedOn w:val="27"/>
    <w:qFormat/>
    <w:uiPriority w:val="0"/>
    <w:rPr>
      <w:rFonts w:hint="eastAsia" w:ascii="微软雅黑" w:hAnsi="微软雅黑" w:eastAsia="微软雅黑" w:cs="微软雅黑"/>
      <w:color w:val="000000"/>
      <w:sz w:val="20"/>
      <w:szCs w:val="20"/>
      <w:u w:val="none"/>
    </w:rPr>
  </w:style>
  <w:style w:type="character" w:customStyle="1" w:styleId="40">
    <w:name w:val="标题 2 Char1"/>
    <w:link w:val="5"/>
    <w:qFormat/>
    <w:uiPriority w:val="0"/>
    <w:rPr>
      <w:rFonts w:ascii="宋体" w:hAnsi="宋体" w:eastAsia="宋体" w:cs="宋体"/>
      <w:b/>
      <w:bCs/>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Info spid="_x0000_s1030"/>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云南省政府办公厅</Company>
  <Pages>68</Pages>
  <Words>29436</Words>
  <Characters>30818</Characters>
  <Lines>268</Lines>
  <Paragraphs>75</Paragraphs>
  <TotalTime>1</TotalTime>
  <ScaleCrop>false</ScaleCrop>
  <LinksUpToDate>false</LinksUpToDate>
  <CharactersWithSpaces>33371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2022-09-02T07:51:00Z</dcterms:created>
  <dc:creator>一生</dc:creator>
  <cp:lastModifiedBy>75755</cp:lastModifiedBy>
  <cp:lastPrinted>2023-01-06T06:19:00Z</cp:lastPrinted>
  <dcterms:modified xsi:type="dcterms:W3CDTF">2023-01-08T06:54:39Z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AA801E19DBCC4290A64E6335F4D5EC8F</vt:lpwstr>
  </property>
  <property fmtid="{D5CDD505-2E9C-101B-9397-08002B2CF9AE}" pid="4" name="commondata">
    <vt:lpwstr>eyJoZGlkIjoiNGJmZDNhZGNmNzQ5NGUzMjIyOGNlNGVhMTVkNTRlMWEifQ==</vt:lpwstr>
  </property>
</Properties>
</file>