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宋体" w:hAnsi="宋体" w:eastAsia="宋体" w:cs="宋体"/>
          <w:b/>
          <w:bCs/>
          <w:kern w:val="2"/>
          <w:sz w:val="52"/>
          <w:szCs w:val="5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r>
        <w:rPr>
          <w:rFonts w:hint="eastAsia" w:ascii="宋体" w:hAnsi="宋体" w:eastAsia="宋体" w:cs="宋体"/>
          <w:b/>
          <w:bCs/>
          <w:kern w:val="2"/>
          <w:sz w:val="52"/>
          <w:szCs w:val="52"/>
          <w:lang w:val="en-US" w:eastAsia="zh-CN" w:bidi="ar-SA"/>
        </w:rPr>
        <w:t>楚雄医药高等专科学校保卫处办公用品采购项目</w:t>
      </w: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center"/>
        <w:rPr>
          <w:rFonts w:hint="eastAsia" w:ascii="宋体" w:hAnsi="宋体" w:eastAsia="宋体" w:cs="宋体"/>
          <w:kern w:val="2"/>
          <w:sz w:val="32"/>
          <w:szCs w:val="32"/>
          <w:lang w:val="en-US" w:eastAsia="zh-CN" w:bidi="ar-SA"/>
        </w:rPr>
      </w:pPr>
      <w:r>
        <w:rPr>
          <w:rFonts w:hint="eastAsia" w:ascii="宋体" w:hAnsi="宋体" w:eastAsia="宋体" w:cs="宋体"/>
          <w:b/>
          <w:bCs/>
          <w:kern w:val="2"/>
          <w:sz w:val="52"/>
          <w:szCs w:val="52"/>
          <w:lang w:val="en-US" w:eastAsia="zh-CN" w:bidi="ar-SA"/>
        </w:rPr>
        <w:t>竞争性谈判文件</w:t>
      </w:r>
    </w:p>
    <w:p>
      <w:pPr>
        <w:widowControl w:val="0"/>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项目编号：CXYZC【2022】第4号</w:t>
      </w:r>
    </w:p>
    <w:p>
      <w:pPr>
        <w:widowControl w:val="0"/>
        <w:spacing w:line="360" w:lineRule="auto"/>
        <w:jc w:val="center"/>
        <w:rPr>
          <w:rFonts w:hint="eastAsia" w:ascii="宋体" w:hAnsi="宋体" w:eastAsia="宋体" w:cs="宋体"/>
          <w:kern w:val="2"/>
          <w:sz w:val="32"/>
          <w:szCs w:val="32"/>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spacing w:line="360" w:lineRule="auto"/>
        <w:jc w:val="both"/>
        <w:rPr>
          <w:rFonts w:hint="eastAsia" w:ascii="宋体" w:hAnsi="宋体" w:eastAsia="宋体" w:cs="宋体"/>
          <w:b/>
          <w:bCs/>
          <w:kern w:val="2"/>
          <w:sz w:val="32"/>
          <w:szCs w:val="20"/>
          <w:lang w:val="en-US" w:eastAsia="zh-CN" w:bidi="ar-SA"/>
        </w:rPr>
      </w:pPr>
    </w:p>
    <w:p>
      <w:pPr>
        <w:widowControl w:val="0"/>
        <w:spacing w:line="360" w:lineRule="auto"/>
        <w:ind w:firstLine="2249" w:firstLineChars="700"/>
        <w:jc w:val="both"/>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采购人：楚雄医药高等专科学校</w:t>
      </w:r>
    </w:p>
    <w:p>
      <w:pPr>
        <w:widowControl w:val="0"/>
        <w:spacing w:line="360" w:lineRule="auto"/>
        <w:jc w:val="center"/>
        <w:rPr>
          <w:rFonts w:hint="eastAsia" w:ascii="宋体" w:hAnsi="宋体" w:eastAsia="宋体" w:cs="宋体"/>
          <w:b/>
          <w:bCs/>
          <w:kern w:val="2"/>
          <w:sz w:val="32"/>
          <w:szCs w:val="32"/>
          <w:lang w:val="en-US" w:eastAsia="zh-CN" w:bidi="ar-SA"/>
        </w:rPr>
      </w:pPr>
    </w:p>
    <w:p>
      <w:pPr>
        <w:widowControl w:val="0"/>
        <w:spacing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2022年2月</w:t>
      </w:r>
    </w:p>
    <w:p>
      <w:pPr>
        <w:widowControl w:val="0"/>
        <w:spacing w:line="360" w:lineRule="auto"/>
        <w:jc w:val="center"/>
        <w:rPr>
          <w:rFonts w:hint="eastAsia" w:ascii="宋体" w:hAnsi="宋体" w:eastAsia="宋体" w:cs="宋体"/>
          <w:b/>
          <w:bCs/>
          <w:kern w:val="2"/>
          <w:sz w:val="32"/>
          <w:szCs w:val="32"/>
          <w:lang w:val="en-US" w:eastAsia="zh-CN" w:bidi="ar-SA"/>
        </w:rPr>
        <w:sectPr>
          <w:headerReference r:id="rId3" w:type="first"/>
          <w:footerReference r:id="rId4" w:type="default"/>
          <w:footerReference r:id="rId5" w:type="even"/>
          <w:pgSz w:w="11906" w:h="16838"/>
          <w:pgMar w:top="1418" w:right="1134" w:bottom="1134" w:left="1417" w:header="779" w:footer="720" w:gutter="0"/>
          <w:pgNumType w:start="1"/>
          <w:cols w:space="720" w:num="1"/>
          <w:titlePg/>
          <w:docGrid w:linePitch="331" w:charSpace="0"/>
        </w:sectPr>
      </w:pPr>
    </w:p>
    <w:p>
      <w:pPr>
        <w:keepNext/>
        <w:keepLines/>
        <w:widowControl/>
        <w:tabs>
          <w:tab w:val="left" w:pos="360"/>
        </w:tabs>
        <w:adjustRightInd/>
        <w:spacing w:before="240" w:line="259" w:lineRule="auto"/>
        <w:ind w:left="0" w:firstLine="0"/>
        <w:jc w:val="center"/>
        <w:textAlignment w:val="auto"/>
        <w:outlineLvl w:val="9"/>
        <w:rPr>
          <w:rFonts w:hint="eastAsia" w:ascii="宋体" w:hAnsi="宋体" w:eastAsia="宋体" w:cs="宋体"/>
          <w:b/>
          <w:bCs w:val="0"/>
          <w:color w:val="auto"/>
          <w:kern w:val="0"/>
          <w:sz w:val="44"/>
          <w:szCs w:val="44"/>
          <w:lang w:val="en-US" w:eastAsia="zh-CN" w:bidi="ar-SA"/>
        </w:rPr>
      </w:pPr>
      <w:r>
        <w:rPr>
          <w:rFonts w:hint="eastAsia" w:ascii="宋体" w:hAnsi="宋体" w:eastAsia="宋体" w:cs="宋体"/>
          <w:b/>
          <w:bCs w:val="0"/>
          <w:color w:val="auto"/>
          <w:kern w:val="0"/>
          <w:sz w:val="44"/>
          <w:szCs w:val="44"/>
          <w:lang w:val="zh-CN" w:eastAsia="zh-CN" w:bidi="ar-SA"/>
        </w:rPr>
        <w:t>目录</w:t>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bCs/>
          <w:caps/>
          <w:kern w:val="2"/>
          <w:sz w:val="21"/>
          <w:szCs w:val="20"/>
          <w:lang w:val="en-US" w:eastAsia="zh-CN" w:bidi="ar-SA"/>
        </w:rPr>
        <w:fldChar w:fldCharType="begin"/>
      </w:r>
      <w:r>
        <w:rPr>
          <w:rFonts w:hint="default" w:ascii="Times New Roman" w:hAnsi="Times New Roman" w:eastAsia="宋体" w:cs="Times New Roman"/>
          <w:bCs/>
          <w:caps/>
          <w:kern w:val="2"/>
          <w:sz w:val="21"/>
          <w:szCs w:val="20"/>
          <w:lang w:val="en-US" w:eastAsia="zh-CN" w:bidi="ar-SA"/>
        </w:rPr>
        <w:instrText xml:space="preserve">TOC \o "1-3" \h \u </w:instrText>
      </w:r>
      <w:r>
        <w:rPr>
          <w:rFonts w:hint="default" w:ascii="Times New Roman" w:hAnsi="Times New Roman" w:eastAsia="宋体" w:cs="Times New Roman"/>
          <w:bCs/>
          <w:caps/>
          <w:kern w:val="2"/>
          <w:sz w:val="21"/>
          <w:szCs w:val="20"/>
          <w:lang w:val="en-US" w:eastAsia="zh-CN" w:bidi="ar-SA"/>
        </w:rPr>
        <w:fldChar w:fldCharType="separate"/>
      </w:r>
      <w:r>
        <w:rPr>
          <w:rFonts w:hint="default" w:ascii="Times New Roman" w:hAnsi="Times New Roman" w:eastAsia="宋体" w:cs="Times New Roman"/>
          <w:bCs/>
          <w:caps/>
          <w:kern w:val="2"/>
          <w:szCs w:val="20"/>
          <w:lang w:val="en-US" w:eastAsia="zh-CN" w:bidi="ar-SA"/>
        </w:rPr>
        <w:fldChar w:fldCharType="begin"/>
      </w:r>
      <w:r>
        <w:rPr>
          <w:rFonts w:hint="default" w:ascii="Times New Roman" w:hAnsi="Times New Roman" w:eastAsia="宋体" w:cs="Times New Roman"/>
          <w:bCs/>
          <w:caps/>
          <w:kern w:val="2"/>
          <w:szCs w:val="20"/>
          <w:lang w:val="en-US" w:eastAsia="zh-CN" w:bidi="ar-SA"/>
        </w:rPr>
        <w:instrText xml:space="preserve"> HYPERLINK \l _Toc18913 </w:instrText>
      </w:r>
      <w:r>
        <w:rPr>
          <w:rFonts w:hint="default" w:ascii="Times New Roman" w:hAnsi="Times New Roman" w:eastAsia="宋体" w:cs="Times New Roman"/>
          <w:bCs/>
          <w:caps/>
          <w:kern w:val="2"/>
          <w:szCs w:val="20"/>
          <w:lang w:val="en-US" w:eastAsia="zh-CN" w:bidi="ar-SA"/>
        </w:rPr>
        <w:fldChar w:fldCharType="separate"/>
      </w:r>
      <w:r>
        <w:rPr>
          <w:rFonts w:hint="default" w:ascii="Times New Roman" w:hAnsi="Times New Roman" w:cs="Times New Roman"/>
          <w:lang w:val="en-US" w:eastAsia="zh-CN"/>
        </w:rPr>
        <w:t>第一章   竞争性谈判公告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_Toc18913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aps/>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_Toc14927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bCs w:val="0"/>
          <w:lang w:val="en-US" w:eastAsia="zh-CN"/>
        </w:rPr>
        <w:t xml:space="preserve">1.1 </w:t>
      </w:r>
      <w:r>
        <w:rPr>
          <w:rFonts w:hint="default" w:ascii="Times New Roman" w:hAnsi="Times New Roman" w:eastAsia="宋体" w:cs="Times New Roman"/>
          <w:bCs w:val="0"/>
        </w:rPr>
        <w:t>项目基本情况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_Toc14927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_Toc31962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1.2 </w:t>
      </w:r>
      <w:r>
        <w:rPr>
          <w:rFonts w:hint="default" w:ascii="Times New Roman" w:hAnsi="Times New Roman" w:eastAsia="宋体" w:cs="Times New Roman"/>
        </w:rPr>
        <w:t>申请人的资格要求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_Toc31962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_Toc20905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1.3 </w:t>
      </w:r>
      <w:r>
        <w:rPr>
          <w:rFonts w:hint="default" w:ascii="Times New Roman" w:hAnsi="Times New Roman" w:eastAsia="宋体" w:cs="Times New Roman"/>
        </w:rPr>
        <w:t>获取采购文件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_Toc20905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_Toc13850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1.4 </w:t>
      </w:r>
      <w:r>
        <w:rPr>
          <w:rFonts w:hint="default" w:ascii="Times New Roman" w:hAnsi="Times New Roman" w:eastAsia="宋体" w:cs="Times New Roman"/>
        </w:rPr>
        <w:t>响应文件提交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_Toc13850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_Toc30619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1.5 开启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_Toc30619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_Toc24654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1.6 </w:t>
      </w:r>
      <w:r>
        <w:rPr>
          <w:rFonts w:hint="default" w:ascii="Times New Roman" w:hAnsi="Times New Roman" w:eastAsia="宋体" w:cs="Times New Roman"/>
        </w:rPr>
        <w:t>其他补充事宜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_Toc24654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_Toc29053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1.7 </w:t>
      </w:r>
      <w:r>
        <w:rPr>
          <w:rFonts w:hint="default" w:ascii="Times New Roman" w:hAnsi="Times New Roman" w:eastAsia="宋体" w:cs="Times New Roman"/>
        </w:rPr>
        <w:t>谈判保证金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_Toc29053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_Toc9034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1.8 </w:t>
      </w:r>
      <w:r>
        <w:rPr>
          <w:rFonts w:hint="default" w:ascii="Times New Roman" w:hAnsi="Times New Roman" w:eastAsia="宋体" w:cs="Times New Roman"/>
        </w:rPr>
        <w:t>疫情防控要求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_Toc9034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_Toc18508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bCs w:val="0"/>
          <w:lang w:val="en-US" w:eastAsia="zh-CN"/>
        </w:rPr>
        <w:t xml:space="preserve">1.9 </w:t>
      </w:r>
      <w:r>
        <w:rPr>
          <w:rFonts w:hint="default" w:ascii="Times New Roman" w:hAnsi="Times New Roman" w:eastAsia="宋体" w:cs="Times New Roman"/>
          <w:bCs w:val="0"/>
          <w:lang w:eastAsia="zh-CN"/>
        </w:rPr>
        <w:t>联系方式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_Toc18508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_Toc10940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第二章   供应商须知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_Toc10940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_Toc19702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_Toc19702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_Toc4052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2.2 谈判文件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_Toc4052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_Toc30726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2.3 响应文件的编制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_Toc30726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_Toc25794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2.4 响应文件的提交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_Toc25794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_Toc18313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2.5 响应文件开启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_Toc18313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_Toc6512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2.6 </w:t>
      </w:r>
      <w:r>
        <w:rPr>
          <w:rFonts w:hint="default" w:ascii="Times New Roman" w:hAnsi="Times New Roman" w:eastAsia="宋体" w:cs="Times New Roman"/>
        </w:rPr>
        <w:t>响应文件的评审与谈判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_Toc6512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_Toc5490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2.7 成交结果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_Toc5490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_Toc27381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cs="Times New Roman"/>
          <w:lang w:val="en-US" w:eastAsia="zh-CN"/>
        </w:rPr>
        <w:t>第三章   合同书样式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_Toc27381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_Toc29125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cs="Times New Roman"/>
          <w:lang w:val="en-US" w:eastAsia="zh-CN"/>
        </w:rPr>
        <w:t>第四章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_Toc29125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_Toc23423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4.1 </w:t>
      </w:r>
      <w:r>
        <w:rPr>
          <w:rFonts w:hint="default" w:ascii="Times New Roman" w:hAnsi="Times New Roman" w:eastAsia="宋体" w:cs="Times New Roman"/>
        </w:rPr>
        <w:t>谈判响应函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_Toc23423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_Toc10050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4.2 </w:t>
      </w:r>
      <w:r>
        <w:rPr>
          <w:rFonts w:hint="default" w:ascii="Times New Roman" w:hAnsi="Times New Roman" w:eastAsia="宋体" w:cs="Times New Roman"/>
        </w:rPr>
        <w:t>竞争性谈判报价一览表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_Toc10050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_Toc24277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4.3 </w:t>
      </w:r>
      <w:r>
        <w:rPr>
          <w:rFonts w:hint="default" w:ascii="Times New Roman" w:hAnsi="Times New Roman" w:eastAsia="宋体" w:cs="Times New Roman"/>
        </w:rPr>
        <w:t>分项报价表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_Toc24277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_Toc1659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4.4 资格证明文件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_Toc1659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6"/>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_Toc1948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 xml:space="preserve">4.4.1 </w:t>
      </w:r>
      <w:r>
        <w:rPr>
          <w:rFonts w:hint="default" w:ascii="Times New Roman" w:hAnsi="Times New Roman" w:eastAsia="宋体" w:cs="Times New Roman"/>
        </w:rPr>
        <w:t>营业执照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_Toc1948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6"/>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_Toc12911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4.4.2 法定代表人资格证明书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_Toc12911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6"/>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_Toc9216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4.4.3 法定代表人授权委托书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_Toc9216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6"/>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_Toc17185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4.4.4 书面声明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_Toc17185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_Toc27764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4.5 构成响应文件的其他资料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_Toc27764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_Toc30149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cs="Times New Roman"/>
          <w:lang w:val="en-US" w:eastAsia="zh-CN"/>
        </w:rPr>
        <w:t>第五章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_Toc30149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_Toc15781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5.1 计划采购清单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_Toc15781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_Toc8056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5.2 交货要求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_Toc8056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_Toc24279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5.3 验收标准和方法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_Toc24279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10"/>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_Toc32418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lang w:val="en-US" w:eastAsia="zh-CN"/>
        </w:rPr>
        <w:t>5.4 特殊要求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_Toc32418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pStyle w:val="9"/>
        <w:tabs>
          <w:tab w:val="right" w:leader="dot" w:pos="9355"/>
        </w:tabs>
        <w:rPr>
          <w:rFonts w:hint="default" w:ascii="Times New Roman" w:hAnsi="Times New Roman" w:cs="Times New Roman"/>
        </w:rPr>
      </w:pPr>
      <w:r>
        <w:rPr>
          <w:rFonts w:hint="default" w:ascii="Times New Roman" w:hAnsi="Times New Roman" w:eastAsia="宋体" w:cs="Times New Roman"/>
          <w:kern w:val="2"/>
          <w:szCs w:val="20"/>
          <w:lang w:val="en-US" w:eastAsia="zh-CN" w:bidi="ar-SA"/>
        </w:rPr>
        <w:fldChar w:fldCharType="begin"/>
      </w:r>
      <w:r>
        <w:rPr>
          <w:rFonts w:hint="default" w:ascii="Times New Roman" w:hAnsi="Times New Roman" w:eastAsia="宋体" w:cs="Times New Roman"/>
          <w:kern w:val="2"/>
          <w:szCs w:val="20"/>
          <w:lang w:val="en-US" w:eastAsia="zh-CN" w:bidi="ar-SA"/>
        </w:rPr>
        <w:instrText xml:space="preserve"> HYPERLINK \l _Toc8252 </w:instrText>
      </w:r>
      <w:r>
        <w:rPr>
          <w:rFonts w:hint="default" w:ascii="Times New Roman" w:hAnsi="Times New Roman" w:eastAsia="宋体" w:cs="Times New Roman"/>
          <w:kern w:val="2"/>
          <w:szCs w:val="20"/>
          <w:lang w:val="en-US" w:eastAsia="zh-CN" w:bidi="ar-SA"/>
        </w:rPr>
        <w:fldChar w:fldCharType="separate"/>
      </w:r>
      <w:r>
        <w:rPr>
          <w:rFonts w:hint="default" w:ascii="Times New Roman" w:hAnsi="Times New Roman" w:eastAsia="宋体" w:cs="Times New Roman"/>
          <w:bCs/>
          <w:kern w:val="44"/>
          <w:szCs w:val="32"/>
          <w:lang w:val="en-US" w:eastAsia="zh-CN" w:bidi="ar-SA"/>
        </w:rPr>
        <w:t>第六章  评审办法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_Toc8252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eastAsia="宋体" w:cs="Times New Roman"/>
          <w:kern w:val="2"/>
          <w:szCs w:val="20"/>
          <w:lang w:val="en-US" w:eastAsia="zh-CN" w:bidi="ar-SA"/>
        </w:rPr>
        <w:fldChar w:fldCharType="end"/>
      </w:r>
    </w:p>
    <w:p>
      <w:pPr>
        <w:spacing w:line="360" w:lineRule="auto"/>
        <w:jc w:val="center"/>
        <w:rPr>
          <w:rFonts w:hint="eastAsia" w:ascii="宋体" w:hAnsi="宋体" w:eastAsia="宋体" w:cs="宋体"/>
          <w:b/>
          <w:bCs/>
          <w:sz w:val="32"/>
          <w:szCs w:val="32"/>
        </w:rPr>
        <w:sectPr>
          <w:pgSz w:w="11906" w:h="16838"/>
          <w:pgMar w:top="1418" w:right="1134" w:bottom="1134" w:left="1417" w:header="779" w:footer="720" w:gutter="0"/>
          <w:pgNumType w:start="1"/>
          <w:cols w:space="720" w:num="1"/>
          <w:titlePg/>
          <w:docGrid w:linePitch="331" w:charSpace="0"/>
        </w:sectPr>
      </w:pPr>
      <w:r>
        <w:rPr>
          <w:rFonts w:hint="default" w:ascii="Times New Roman" w:hAnsi="Times New Roman" w:eastAsia="宋体" w:cs="Times New Roman"/>
          <w:kern w:val="2"/>
          <w:szCs w:val="20"/>
          <w:lang w:val="en-US" w:eastAsia="zh-CN" w:bidi="ar-SA"/>
        </w:rPr>
        <w:fldChar w:fldCharType="end"/>
      </w:r>
    </w:p>
    <w:p>
      <w:pPr>
        <w:pStyle w:val="2"/>
        <w:bidi w:val="0"/>
        <w:jc w:val="center"/>
        <w:rPr>
          <w:rFonts w:hint="eastAsia" w:ascii="宋体" w:hAnsi="宋体" w:eastAsia="宋体" w:cs="宋体"/>
        </w:rPr>
      </w:pPr>
      <w:bookmarkStart w:id="0" w:name="_Toc18913"/>
      <w:bookmarkStart w:id="1" w:name="_Toc60996674"/>
      <w:bookmarkStart w:id="2" w:name="_Toc20587_WPSOffice_Level1"/>
      <w:bookmarkStart w:id="3" w:name="_第一章__招标公告"/>
      <w:r>
        <w:rPr>
          <w:rFonts w:hint="default" w:ascii="Times New Roman" w:hAnsi="Times New Roman" w:cs="Times New Roman"/>
          <w:lang w:val="en-US" w:eastAsia="zh-CN"/>
        </w:rPr>
        <w:t>第一章   竞争性谈判公告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为满足正常办公需求，我校保卫处拟采购办公用品一批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参照《政府采购法》及我校采购管理相关规定，本次</w:t>
      </w:r>
      <w:r>
        <w:rPr>
          <w:rFonts w:hint="eastAsia" w:ascii="Times New Roman" w:hAnsi="Times New Roman" w:eastAsia="宋体" w:cs="Times New Roman"/>
          <w:sz w:val="24"/>
          <w:szCs w:val="24"/>
          <w:lang w:val="en-US" w:eastAsia="zh-CN"/>
        </w:rPr>
        <w:t>保卫处办公用品</w:t>
      </w:r>
      <w:r>
        <w:rPr>
          <w:rFonts w:hint="default" w:ascii="Times New Roman" w:hAnsi="Times New Roman" w:eastAsia="宋体" w:cs="Times New Roman"/>
          <w:sz w:val="24"/>
          <w:szCs w:val="24"/>
          <w:lang w:eastAsia="zh-CN"/>
        </w:rPr>
        <w:t>采购采用竞争性谈判</w:t>
      </w:r>
      <w:r>
        <w:rPr>
          <w:rFonts w:hint="default" w:ascii="Times New Roman" w:hAnsi="Times New Roman" w:eastAsia="宋体" w:cs="Times New Roman"/>
          <w:sz w:val="24"/>
          <w:szCs w:val="24"/>
        </w:rPr>
        <w:t>的方式进行。</w:t>
      </w:r>
      <w:r>
        <w:rPr>
          <w:rFonts w:hint="eastAsia" w:ascii="Times New Roman" w:hAnsi="Times New Roman" w:eastAsia="宋体" w:cs="Times New Roman"/>
          <w:sz w:val="24"/>
          <w:szCs w:val="24"/>
          <w:lang w:val="en-US" w:eastAsia="zh-CN"/>
        </w:rPr>
        <w:t>欢迎</w:t>
      </w:r>
      <w:r>
        <w:rPr>
          <w:rFonts w:hint="default" w:ascii="Times New Roman" w:hAnsi="Times New Roman" w:eastAsia="宋体" w:cs="Times New Roman"/>
          <w:sz w:val="24"/>
          <w:szCs w:val="24"/>
        </w:rPr>
        <w:t>具有相应资格及具有完成本项目能力的</w:t>
      </w:r>
      <w:r>
        <w:rPr>
          <w:rFonts w:hint="eastAsia" w:ascii="Times New Roman" w:hAnsi="Times New Roman" w:eastAsia="宋体" w:cs="Times New Roman"/>
          <w:sz w:val="24"/>
          <w:szCs w:val="24"/>
          <w:lang w:val="en-US" w:eastAsia="zh-CN"/>
        </w:rPr>
        <w:t>潜在</w:t>
      </w:r>
      <w:r>
        <w:rPr>
          <w:rFonts w:hint="default" w:ascii="Times New Roman" w:hAnsi="Times New Roman" w:eastAsia="宋体" w:cs="Times New Roman"/>
          <w:sz w:val="24"/>
          <w:szCs w:val="24"/>
        </w:rPr>
        <w:t>供应商参加。</w:t>
      </w:r>
    </w:p>
    <w:p>
      <w:pPr>
        <w:pStyle w:val="3"/>
        <w:bidi w:val="0"/>
        <w:rPr>
          <w:rFonts w:hint="eastAsia" w:ascii="宋体" w:hAnsi="宋体" w:eastAsia="宋体" w:cs="宋体"/>
          <w:b/>
          <w:bCs w:val="0"/>
          <w:szCs w:val="28"/>
        </w:rPr>
      </w:pPr>
      <w:bookmarkStart w:id="4" w:name="_Toc14927"/>
      <w:bookmarkStart w:id="5" w:name="_Toc28359079"/>
      <w:bookmarkStart w:id="6" w:name="_Toc35393621"/>
      <w:bookmarkStart w:id="7" w:name="_Toc44621995"/>
      <w:bookmarkStart w:id="8" w:name="_Toc29731_WPSOffice_Level2"/>
      <w:bookmarkStart w:id="9" w:name="_Toc28359002"/>
      <w:bookmarkStart w:id="10" w:name="_Toc35393790"/>
      <w:bookmarkStart w:id="11" w:name="_Hlk24379207"/>
      <w:r>
        <w:rPr>
          <w:rFonts w:hint="default" w:ascii="Times New Roman" w:hAnsi="Times New Roman" w:eastAsia="宋体" w:cs="Times New Roman"/>
          <w:b/>
          <w:bCs w:val="0"/>
          <w:lang w:val="en-US" w:eastAsia="zh-CN"/>
        </w:rPr>
        <w:t xml:space="preserve">1.1 </w:t>
      </w:r>
      <w:r>
        <w:rPr>
          <w:rFonts w:hint="default" w:ascii="Times New Roman" w:hAnsi="Times New Roman" w:eastAsia="宋体" w:cs="Times New Roman"/>
          <w:b/>
          <w:bCs w:val="0"/>
        </w:rPr>
        <w:t>项目基本情况</w:t>
      </w:r>
      <w:bookmarkEnd w:id="4"/>
      <w:bookmarkEnd w:id="5"/>
      <w:bookmarkEnd w:id="6"/>
      <w:bookmarkEnd w:id="7"/>
      <w:bookmarkEnd w:id="8"/>
      <w:bookmarkEnd w:id="9"/>
      <w:bookmarkEnd w:id="10"/>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项目编号：</w:t>
      </w:r>
      <w:r>
        <w:rPr>
          <w:rFonts w:hint="default" w:ascii="Times New Roman" w:hAnsi="Times New Roman" w:eastAsia="宋体" w:cs="Times New Roman"/>
          <w:sz w:val="24"/>
          <w:szCs w:val="24"/>
          <w:lang w:val="en-US" w:eastAsia="zh-CN"/>
        </w:rPr>
        <w:t>CXYZC【2022】第4号</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项目名称：</w:t>
      </w:r>
      <w:r>
        <w:rPr>
          <w:rFonts w:hint="default" w:ascii="Times New Roman" w:hAnsi="Times New Roman" w:eastAsia="宋体" w:cs="Times New Roman"/>
          <w:sz w:val="24"/>
          <w:szCs w:val="24"/>
          <w:lang w:val="en-US" w:eastAsia="zh-CN"/>
        </w:rPr>
        <w:t>楚雄医药高等专科学校保卫处办公用品采购项目</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采购方式：竞争性谈判</w:t>
      </w:r>
    </w:p>
    <w:bookmarkEnd w:id="11"/>
    <w:p>
      <w:pPr>
        <w:spacing w:line="460" w:lineRule="exact"/>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预算金额：</w:t>
      </w:r>
      <w:r>
        <w:rPr>
          <w:rFonts w:hint="eastAsia" w:ascii="Times New Roman" w:hAnsi="Times New Roman" w:eastAsia="宋体" w:cs="Times New Roman"/>
          <w:sz w:val="24"/>
          <w:szCs w:val="24"/>
          <w:highlight w:val="none"/>
          <w:lang w:val="en-US" w:eastAsia="zh-CN"/>
        </w:rPr>
        <w:t>13032.1元</w:t>
      </w:r>
    </w:p>
    <w:p>
      <w:pPr>
        <w:spacing w:line="46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最高限价：</w:t>
      </w:r>
      <w:r>
        <w:rPr>
          <w:rFonts w:hint="eastAsia" w:ascii="Times New Roman" w:hAnsi="Times New Roman" w:eastAsia="宋体" w:cs="Times New Roman"/>
          <w:sz w:val="24"/>
          <w:szCs w:val="24"/>
          <w:highlight w:val="none"/>
          <w:lang w:val="en-US" w:eastAsia="zh-CN"/>
        </w:rPr>
        <w:t>13032.1元</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采购需求：</w:t>
      </w:r>
      <w:r>
        <w:rPr>
          <w:rFonts w:hint="eastAsia" w:ascii="Times New Roman" w:hAnsi="Times New Roman" w:eastAsia="宋体" w:cs="Times New Roman"/>
          <w:sz w:val="24"/>
          <w:szCs w:val="24"/>
          <w:lang w:val="en-US" w:eastAsia="zh-CN"/>
        </w:rPr>
        <w:t>采购保卫处办公用品一批，其中部分办公用品需要提供样品，采购清单及样品要求，详见“第五章 采购需求”。</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合同履行期限：</w:t>
      </w:r>
      <w:r>
        <w:rPr>
          <w:rFonts w:hint="eastAsia" w:ascii="Times New Roman" w:hAnsi="Times New Roman" w:eastAsia="宋体" w:cs="Times New Roman"/>
          <w:sz w:val="24"/>
          <w:szCs w:val="24"/>
          <w:lang w:eastAsia="zh-CN"/>
        </w:rPr>
        <w:t>根据采购方要求</w:t>
      </w:r>
      <w:r>
        <w:rPr>
          <w:rFonts w:hint="eastAsia" w:ascii="Times New Roman" w:hAnsi="Times New Roman" w:eastAsia="宋体" w:cs="Times New Roman"/>
          <w:sz w:val="24"/>
          <w:szCs w:val="24"/>
          <w:lang w:val="en-US" w:eastAsia="zh-CN"/>
        </w:rPr>
        <w:t>供货</w:t>
      </w:r>
      <w:r>
        <w:rPr>
          <w:rFonts w:hint="eastAsia" w:ascii="Times New Roman" w:hAnsi="Times New Roman" w:eastAsia="宋体" w:cs="Times New Roman"/>
          <w:sz w:val="24"/>
          <w:szCs w:val="24"/>
          <w:lang w:eastAsia="zh-CN"/>
        </w:rPr>
        <w:t>，供货时间为合同签订后</w:t>
      </w:r>
      <w:r>
        <w:rPr>
          <w:rFonts w:hint="eastAsia" w:ascii="Times New Roman" w:hAnsi="Times New Roman" w:eastAsia="宋体" w:cs="Times New Roman"/>
          <w:sz w:val="24"/>
          <w:szCs w:val="24"/>
          <w:lang w:val="en-US" w:eastAsia="zh-CN"/>
        </w:rPr>
        <w:t>15个日历天内。</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本项目不接受联合体投标。</w:t>
      </w:r>
    </w:p>
    <w:p>
      <w:pPr>
        <w:pStyle w:val="3"/>
        <w:bidi w:val="0"/>
        <w:rPr>
          <w:rFonts w:hint="default" w:ascii="Times New Roman" w:hAnsi="Times New Roman" w:eastAsia="宋体" w:cs="Times New Roman"/>
        </w:rPr>
      </w:pPr>
      <w:bookmarkStart w:id="12" w:name="_Toc44621996"/>
      <w:bookmarkStart w:id="13" w:name="_Toc31962"/>
      <w:bookmarkStart w:id="14" w:name="_Toc35393622"/>
      <w:bookmarkStart w:id="15" w:name="_Toc28359080"/>
      <w:bookmarkStart w:id="16" w:name="_Toc31955_WPSOffice_Level2"/>
      <w:bookmarkStart w:id="17" w:name="_Toc28359003"/>
      <w:bookmarkStart w:id="18" w:name="_Toc35393791"/>
      <w:r>
        <w:rPr>
          <w:rFonts w:hint="default" w:ascii="Times New Roman" w:hAnsi="Times New Roman" w:eastAsia="宋体" w:cs="Times New Roman"/>
          <w:lang w:val="en-US" w:eastAsia="zh-CN"/>
        </w:rPr>
        <w:t xml:space="preserve">1.2 </w:t>
      </w:r>
      <w:r>
        <w:rPr>
          <w:rFonts w:hint="default" w:ascii="Times New Roman" w:hAnsi="Times New Roman" w:eastAsia="宋体" w:cs="Times New Roman"/>
        </w:rPr>
        <w:t>申请人的资格要求</w:t>
      </w:r>
      <w:bookmarkEnd w:id="12"/>
      <w:bookmarkEnd w:id="13"/>
      <w:bookmarkEnd w:id="14"/>
      <w:bookmarkEnd w:id="15"/>
      <w:bookmarkEnd w:id="16"/>
      <w:bookmarkEnd w:id="17"/>
      <w:bookmarkEnd w:id="18"/>
    </w:p>
    <w:p>
      <w:pPr>
        <w:spacing w:line="460" w:lineRule="exact"/>
        <w:ind w:firstLine="480" w:firstLineChars="200"/>
        <w:rPr>
          <w:rFonts w:hint="default" w:ascii="Times New Roman" w:hAnsi="Times New Roman" w:eastAsia="宋体" w:cs="Times New Roman"/>
          <w:sz w:val="24"/>
          <w:szCs w:val="24"/>
        </w:rPr>
      </w:pPr>
      <w:bookmarkStart w:id="19" w:name="_Toc29731_WPSOffice_Level3"/>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满足《中华人民共和国政府采购法》第二十二条规定</w:t>
      </w:r>
      <w:bookmarkEnd w:id="19"/>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1）具有独立承担民事责任的能力；</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2）具有良好的商业信誉和健全的财务会计制度；</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3）具有履行合同所必需的设备和专业技术能力；</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4）有依法缴纳税收和社会保障资金的良好记录；</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5）参加政府采购活动前三年内，在经营活动中没有重大违法记录；</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6）法律、行政法规规定的其他条件。</w:t>
      </w:r>
    </w:p>
    <w:p>
      <w:pPr>
        <w:spacing w:line="460" w:lineRule="exact"/>
        <w:ind w:firstLine="480" w:firstLineChars="200"/>
        <w:rPr>
          <w:rFonts w:hint="default" w:ascii="Times New Roman" w:hAnsi="Times New Roman" w:eastAsia="宋体" w:cs="Times New Roman"/>
          <w:sz w:val="24"/>
          <w:szCs w:val="24"/>
        </w:rPr>
      </w:pPr>
      <w:bookmarkStart w:id="20" w:name="_Toc31955_WPSOffice_Level3"/>
      <w:bookmarkStart w:id="21" w:name="_Toc28359004"/>
      <w:bookmarkStart w:id="22" w:name="_Toc28359081"/>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落实政府采购政策需满足的资格要求：</w:t>
      </w:r>
      <w:bookmarkEnd w:id="20"/>
      <w:r>
        <w:rPr>
          <w:rFonts w:hint="default" w:ascii="Times New Roman" w:hAnsi="Times New Roman" w:eastAsia="宋体" w:cs="Times New Roman"/>
          <w:sz w:val="24"/>
          <w:szCs w:val="24"/>
        </w:rPr>
        <w:t>无</w:t>
      </w:r>
    </w:p>
    <w:p>
      <w:pPr>
        <w:tabs>
          <w:tab w:val="left" w:pos="426"/>
        </w:tabs>
        <w:adjustRightInd w:val="0"/>
        <w:snapToGrid w:val="0"/>
        <w:spacing w:line="500" w:lineRule="exact"/>
        <w:ind w:firstLine="480" w:firstLineChars="200"/>
        <w:rPr>
          <w:rFonts w:hint="default" w:ascii="Times New Roman" w:hAnsi="Times New Roman" w:eastAsia="宋体" w:cs="Times New Roman"/>
          <w:kern w:val="0"/>
          <w:sz w:val="24"/>
          <w:szCs w:val="24"/>
        </w:rPr>
      </w:pPr>
      <w:bookmarkStart w:id="23" w:name="_Toc20584_WPSOffice_Level3"/>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本项目的特定资格要求：</w:t>
      </w:r>
      <w:bookmarkEnd w:id="23"/>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投标人具有</w:t>
      </w:r>
      <w:r>
        <w:rPr>
          <w:rFonts w:hint="eastAsia" w:ascii="Times New Roman" w:hAnsi="Times New Roman" w:eastAsia="宋体" w:cs="Times New Roman"/>
          <w:sz w:val="24"/>
          <w:szCs w:val="24"/>
          <w:lang w:val="en-US" w:eastAsia="zh-CN"/>
        </w:rPr>
        <w:t>办公用品</w:t>
      </w:r>
      <w:r>
        <w:rPr>
          <w:rFonts w:hint="default" w:ascii="Times New Roman" w:hAnsi="Times New Roman" w:eastAsia="宋体" w:cs="Times New Roman"/>
          <w:sz w:val="24"/>
          <w:szCs w:val="24"/>
        </w:rPr>
        <w:t>经营企业许可证或经营备案凭证，并有相应经营范围（提供相对应许可证）。</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供应商在投标截止时间前未被列入“信用中国”网站（www.creditchina.gov.cn）失信被执行人、重大税收违法案件当事人名单、政府采购严重违法失信行为记录名单及中国政府采购网（www.ccgp.gov.cn）“政府采购严重违法失信行为信息记录”（</w:t>
      </w:r>
      <w:r>
        <w:rPr>
          <w:rFonts w:hint="eastAsia" w:ascii="Times New Roman" w:hAnsi="Times New Roman" w:eastAsia="宋体" w:cs="Times New Roman"/>
          <w:sz w:val="24"/>
          <w:szCs w:val="24"/>
          <w:lang w:val="en-US" w:eastAsia="zh-CN"/>
        </w:rPr>
        <w:t>提供查询截图</w:t>
      </w:r>
      <w:r>
        <w:rPr>
          <w:rFonts w:hint="eastAsia" w:ascii="Times New Roman" w:hAnsi="Times New Roman" w:eastAsia="宋体" w:cs="Times New Roman"/>
          <w:sz w:val="24"/>
          <w:szCs w:val="24"/>
          <w:lang w:eastAsia="zh-CN"/>
        </w:rPr>
        <w:t>）。若为失信企业，将取消成交资格。</w:t>
      </w:r>
    </w:p>
    <w:p>
      <w:pPr>
        <w:pStyle w:val="3"/>
        <w:bidi w:val="0"/>
        <w:rPr>
          <w:rFonts w:hint="default" w:ascii="Times New Roman" w:hAnsi="Times New Roman" w:eastAsia="宋体" w:cs="Times New Roman"/>
        </w:rPr>
      </w:pPr>
      <w:bookmarkStart w:id="24" w:name="_Toc44621997"/>
      <w:bookmarkStart w:id="25" w:name="_Toc35393623"/>
      <w:bookmarkStart w:id="26" w:name="_Toc35393792"/>
      <w:bookmarkStart w:id="27" w:name="_Toc20584_WPSOffice_Level2"/>
      <w:bookmarkStart w:id="28" w:name="_Toc20905"/>
      <w:r>
        <w:rPr>
          <w:rFonts w:hint="default" w:ascii="Times New Roman" w:hAnsi="Times New Roman" w:eastAsia="宋体" w:cs="Times New Roman"/>
          <w:lang w:val="en-US" w:eastAsia="zh-CN"/>
        </w:rPr>
        <w:t xml:space="preserve">1.3 </w:t>
      </w:r>
      <w:r>
        <w:rPr>
          <w:rFonts w:hint="default" w:ascii="Times New Roman" w:hAnsi="Times New Roman" w:eastAsia="宋体" w:cs="Times New Roman"/>
        </w:rPr>
        <w:t>获取采购文件</w:t>
      </w:r>
      <w:bookmarkEnd w:id="21"/>
      <w:bookmarkEnd w:id="22"/>
      <w:bookmarkEnd w:id="24"/>
      <w:bookmarkEnd w:id="25"/>
      <w:bookmarkEnd w:id="26"/>
      <w:bookmarkEnd w:id="27"/>
      <w:bookmarkEnd w:id="28"/>
    </w:p>
    <w:p>
      <w:pPr>
        <w:spacing w:line="460" w:lineRule="exact"/>
        <w:ind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时间：</w:t>
      </w:r>
      <w:r>
        <w:rPr>
          <w:rFonts w:hint="default"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28</w:t>
      </w:r>
      <w:r>
        <w:rPr>
          <w:rFonts w:hint="default" w:ascii="Times New Roman" w:hAnsi="Times New Roman" w:eastAsia="宋体" w:cs="Times New Roman"/>
          <w:sz w:val="24"/>
          <w:szCs w:val="24"/>
          <w:lang w:eastAsia="zh-CN"/>
        </w:rPr>
        <w:t>至202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lang w:eastAsia="zh-CN"/>
        </w:rPr>
        <w:t>日</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地点：</w:t>
      </w:r>
      <w:r>
        <w:rPr>
          <w:rFonts w:hint="default" w:ascii="Times New Roman" w:hAnsi="Times New Roman" w:eastAsia="宋体" w:cs="Times New Roman"/>
          <w:sz w:val="24"/>
          <w:szCs w:val="24"/>
          <w:lang w:val="zh-CN"/>
        </w:rPr>
        <w:t>楚雄医药高等专科学校</w:t>
      </w:r>
      <w:r>
        <w:rPr>
          <w:rFonts w:hint="default" w:ascii="Times New Roman" w:hAnsi="Times New Roman" w:eastAsia="宋体" w:cs="Times New Roman"/>
          <w:sz w:val="24"/>
          <w:szCs w:val="24"/>
        </w:rPr>
        <w:t>保卫处招标信息</w:t>
      </w:r>
      <w:r>
        <w:rPr>
          <w:rFonts w:hint="default" w:ascii="Times New Roman" w:hAnsi="Times New Roman" w:eastAsia="宋体" w:cs="Times New Roman"/>
          <w:sz w:val="24"/>
          <w:szCs w:val="24"/>
          <w:lang w:val="zh-CN"/>
        </w:rPr>
        <w:t>栏下载</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网址</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"http://hqc.cxmtc.net/default.html）"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http://www.cxmtc.net/list/cnhqcPc/38/1055/auto/12/0.html）</w:t>
      </w:r>
      <w:r>
        <w:rPr>
          <w:rFonts w:hint="default" w:ascii="Times New Roman" w:hAnsi="Times New Roman" w:eastAsia="宋体" w:cs="Times New Roman"/>
          <w:sz w:val="24"/>
          <w:szCs w:val="24"/>
        </w:rPr>
        <w:fldChar w:fldCharType="end"/>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方式：网上自行下载</w:t>
      </w:r>
    </w:p>
    <w:p>
      <w:pPr>
        <w:pStyle w:val="3"/>
        <w:bidi w:val="0"/>
        <w:rPr>
          <w:rFonts w:hint="default" w:ascii="Times New Roman" w:hAnsi="Times New Roman" w:eastAsia="宋体" w:cs="Times New Roman"/>
        </w:rPr>
      </w:pPr>
      <w:bookmarkStart w:id="29" w:name="_Toc13850"/>
      <w:bookmarkStart w:id="30" w:name="_Toc26790_WPSOffice_Level2"/>
      <w:bookmarkStart w:id="31" w:name="_Toc44621998"/>
      <w:bookmarkStart w:id="32" w:name="_Toc35393793"/>
      <w:bookmarkStart w:id="33" w:name="_Toc35393624"/>
      <w:r>
        <w:rPr>
          <w:rFonts w:hint="default" w:ascii="Times New Roman" w:hAnsi="Times New Roman" w:eastAsia="宋体" w:cs="Times New Roman"/>
          <w:lang w:val="en-US" w:eastAsia="zh-CN"/>
        </w:rPr>
        <w:t xml:space="preserve">1.4 </w:t>
      </w:r>
      <w:r>
        <w:rPr>
          <w:rFonts w:hint="default" w:ascii="Times New Roman" w:hAnsi="Times New Roman" w:eastAsia="宋体" w:cs="Times New Roman"/>
        </w:rPr>
        <w:t>响应文件提交</w:t>
      </w:r>
      <w:bookmarkEnd w:id="29"/>
    </w:p>
    <w:p>
      <w:pPr>
        <w:spacing w:line="460" w:lineRule="exact"/>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截止时间</w:t>
      </w:r>
      <w:bookmarkEnd w:id="30"/>
      <w:bookmarkEnd w:id="31"/>
      <w:bookmarkEnd w:id="32"/>
      <w:bookmarkEnd w:id="33"/>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点 00 分至</w:t>
      </w:r>
      <w:r>
        <w:rPr>
          <w:rFonts w:hint="eastAsia"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点30 分（北京时间）</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地点：楚雄医药高等专科学校远志楼8楼保卫处会议室</w:t>
      </w:r>
    </w:p>
    <w:p>
      <w:pPr>
        <w:pStyle w:val="3"/>
        <w:bidi w:val="0"/>
        <w:rPr>
          <w:rFonts w:hint="default" w:ascii="Times New Roman" w:hAnsi="Times New Roman" w:eastAsia="宋体" w:cs="Times New Roman"/>
          <w:lang w:val="en-US" w:eastAsia="zh-CN"/>
        </w:rPr>
      </w:pPr>
      <w:bookmarkStart w:id="34" w:name="_Toc30619"/>
      <w:r>
        <w:rPr>
          <w:rFonts w:hint="default" w:ascii="Times New Roman" w:hAnsi="Times New Roman" w:eastAsia="宋体" w:cs="Times New Roman"/>
          <w:lang w:val="en-US" w:eastAsia="zh-CN"/>
        </w:rPr>
        <w:t>1.5 开启</w:t>
      </w:r>
      <w:bookmarkEnd w:id="34"/>
    </w:p>
    <w:p>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时间：</w:t>
      </w:r>
      <w:r>
        <w:rPr>
          <w:rFonts w:hint="default" w:ascii="Times New Roman" w:hAnsi="Times New Roman" w:eastAsia="宋体" w:cs="Times New Roman"/>
          <w:sz w:val="24"/>
          <w:szCs w:val="24"/>
          <w:highlight w:val="none"/>
          <w:lang w:eastAsia="zh-CN"/>
        </w:rPr>
        <w:t>202</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年</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11</w:t>
      </w:r>
      <w:r>
        <w:rPr>
          <w:rFonts w:hint="default" w:ascii="Times New Roman" w:hAnsi="Times New Roman" w:eastAsia="宋体" w:cs="Times New Roman"/>
          <w:sz w:val="24"/>
          <w:szCs w:val="24"/>
          <w:highlight w:val="none"/>
          <w:lang w:eastAsia="zh-CN"/>
        </w:rPr>
        <w:t>日</w:t>
      </w:r>
      <w:r>
        <w:rPr>
          <w:rFonts w:hint="eastAsia" w:ascii="Times New Roman" w:hAnsi="Times New Roman" w:eastAsia="宋体" w:cs="Times New Roman"/>
          <w:sz w:val="24"/>
          <w:szCs w:val="24"/>
          <w:highlight w:val="none"/>
          <w:lang w:val="en-US" w:eastAsia="zh-CN"/>
        </w:rPr>
        <w:t>14</w:t>
      </w:r>
      <w:r>
        <w:rPr>
          <w:rFonts w:hint="default" w:ascii="Times New Roman" w:hAnsi="Times New Roman" w:eastAsia="宋体" w:cs="Times New Roman"/>
          <w:sz w:val="24"/>
          <w:szCs w:val="24"/>
          <w:highlight w:val="none"/>
        </w:rPr>
        <w:t>点30 分（北京时间）</w:t>
      </w:r>
    </w:p>
    <w:p>
      <w:pPr>
        <w:spacing w:line="460" w:lineRule="exact"/>
        <w:ind w:firstLine="560"/>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地点：</w:t>
      </w:r>
      <w:bookmarkStart w:id="35" w:name="_Toc4901_WPSOffice_Level2"/>
      <w:r>
        <w:rPr>
          <w:rFonts w:hint="default" w:ascii="Times New Roman" w:hAnsi="Times New Roman" w:eastAsia="宋体" w:cs="Times New Roman"/>
          <w:sz w:val="24"/>
          <w:szCs w:val="24"/>
          <w:highlight w:val="none"/>
        </w:rPr>
        <w:t>楚雄医药高等专科学校远志楼8楼保卫处会议室</w:t>
      </w:r>
    </w:p>
    <w:bookmarkEnd w:id="35"/>
    <w:p>
      <w:pPr>
        <w:pStyle w:val="3"/>
        <w:bidi w:val="0"/>
        <w:rPr>
          <w:rFonts w:hint="default" w:ascii="Times New Roman" w:hAnsi="Times New Roman" w:eastAsia="宋体" w:cs="Times New Roman"/>
          <w:szCs w:val="24"/>
        </w:rPr>
      </w:pPr>
      <w:bookmarkStart w:id="36" w:name="_Toc24654"/>
      <w:bookmarkStart w:id="37" w:name="_Toc30065_WPSOffice_Level2"/>
      <w:bookmarkStart w:id="38" w:name="_Toc35393795"/>
      <w:bookmarkStart w:id="39" w:name="_Toc35393626"/>
      <w:bookmarkStart w:id="40" w:name="_Toc44622000"/>
      <w:r>
        <w:rPr>
          <w:rFonts w:hint="default" w:ascii="Times New Roman" w:hAnsi="Times New Roman" w:eastAsia="宋体" w:cs="Times New Roman"/>
          <w:lang w:val="en-US" w:eastAsia="zh-CN"/>
        </w:rPr>
        <w:t xml:space="preserve">1.6 </w:t>
      </w:r>
      <w:r>
        <w:rPr>
          <w:rFonts w:hint="default" w:ascii="Times New Roman" w:hAnsi="Times New Roman" w:eastAsia="宋体" w:cs="Times New Roman"/>
        </w:rPr>
        <w:t>其他补充事宜</w:t>
      </w:r>
      <w:bookmarkEnd w:id="36"/>
      <w:bookmarkEnd w:id="37"/>
      <w:bookmarkEnd w:id="38"/>
      <w:bookmarkEnd w:id="39"/>
      <w:bookmarkEnd w:id="40"/>
    </w:p>
    <w:p>
      <w:pPr>
        <w:spacing w:line="4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1、</w:t>
      </w:r>
      <w:r>
        <w:rPr>
          <w:rFonts w:hint="default" w:ascii="Times New Roman" w:hAnsi="Times New Roman" w:eastAsia="宋体" w:cs="Times New Roman"/>
          <w:sz w:val="24"/>
          <w:szCs w:val="24"/>
        </w:rPr>
        <w:t>本项目采用纸质评标，在规定的响应文件递交的时间现场报名并递交响应文件。</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递交响应文件截止时间到，仍未按谈判文件的要求到达，视为自动放弃投标。</w:t>
      </w:r>
    </w:p>
    <w:p>
      <w:pPr>
        <w:spacing w:line="460" w:lineRule="exact"/>
        <w:ind w:firstLine="480" w:firstLineChars="200"/>
        <w:rPr>
          <w:rFonts w:hint="default" w:ascii="Times New Roman" w:hAnsi="Times New Roman" w:eastAsia="宋体" w:cs="Times New Roman"/>
          <w:color w:val="000000"/>
          <w:sz w:val="24"/>
          <w:szCs w:val="24"/>
          <w:lang w:val="en-US" w:eastAsia="zh-CN" w:bidi="ar-SA"/>
        </w:rPr>
      </w:pPr>
      <w:bookmarkStart w:id="41" w:name="_Toc35393627"/>
      <w:bookmarkStart w:id="42" w:name="_Toc44622001"/>
      <w:bookmarkStart w:id="43" w:name="_Toc28359008"/>
      <w:bookmarkStart w:id="44" w:name="_Toc28359085"/>
      <w:bookmarkStart w:id="45" w:name="_Toc14054_WPSOffice_Level2"/>
      <w:bookmarkStart w:id="46" w:name="_Toc35393796"/>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kern w:val="0"/>
          <w:sz w:val="24"/>
          <w:szCs w:val="24"/>
        </w:rPr>
        <w:t>法人代表或授权代表须准时到会，出示身份证原件并签名以示出席；否则，其谈判将被拒绝。</w:t>
      </w:r>
    </w:p>
    <w:p>
      <w:pPr>
        <w:pStyle w:val="3"/>
        <w:bidi w:val="0"/>
        <w:rPr>
          <w:rFonts w:hint="default" w:ascii="Times New Roman" w:hAnsi="Times New Roman" w:eastAsia="宋体" w:cs="Times New Roman"/>
        </w:rPr>
      </w:pPr>
      <w:bookmarkStart w:id="47" w:name="_Toc29053"/>
      <w:r>
        <w:rPr>
          <w:rFonts w:hint="default" w:ascii="Times New Roman" w:hAnsi="Times New Roman" w:eastAsia="宋体" w:cs="Times New Roman"/>
          <w:lang w:val="en-US" w:eastAsia="zh-CN"/>
        </w:rPr>
        <w:t xml:space="preserve">1.7 </w:t>
      </w:r>
      <w:r>
        <w:rPr>
          <w:rFonts w:hint="default" w:ascii="Times New Roman" w:hAnsi="Times New Roman" w:eastAsia="宋体" w:cs="Times New Roman"/>
        </w:rPr>
        <w:t>谈判保证金</w:t>
      </w:r>
      <w:bookmarkEnd w:id="47"/>
    </w:p>
    <w:p>
      <w:pPr>
        <w:spacing w:line="460" w:lineRule="exact"/>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保证金的形式：现金，保证金的金额</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color w:val="000000"/>
          <w:kern w:val="0"/>
          <w:sz w:val="24"/>
          <w:szCs w:val="24"/>
          <w:lang w:val="en-US" w:eastAsia="zh-CN"/>
        </w:rPr>
        <w:t>2</w:t>
      </w:r>
      <w:r>
        <w:rPr>
          <w:rFonts w:hint="default" w:ascii="Times New Roman" w:hAnsi="Times New Roman" w:eastAsia="宋体" w:cs="Times New Roman"/>
          <w:color w:val="000000"/>
          <w:kern w:val="0"/>
          <w:sz w:val="24"/>
          <w:szCs w:val="24"/>
        </w:rPr>
        <w:t>00.00（大写：人民币</w:t>
      </w:r>
      <w:r>
        <w:rPr>
          <w:rFonts w:hint="eastAsia" w:ascii="Times New Roman" w:hAnsi="Times New Roman" w:eastAsia="宋体" w:cs="Times New Roman"/>
          <w:color w:val="000000"/>
          <w:kern w:val="0"/>
          <w:sz w:val="24"/>
          <w:szCs w:val="24"/>
          <w:lang w:val="en-US" w:eastAsia="zh-CN"/>
        </w:rPr>
        <w:t>贰</w:t>
      </w:r>
      <w:r>
        <w:rPr>
          <w:rFonts w:hint="eastAsia" w:ascii="Times New Roman" w:hAnsi="Times New Roman" w:eastAsia="宋体" w:cs="Times New Roman"/>
          <w:color w:val="000000"/>
          <w:kern w:val="0"/>
          <w:sz w:val="24"/>
          <w:szCs w:val="24"/>
          <w:lang w:eastAsia="zh-CN"/>
        </w:rPr>
        <w:t>佰</w:t>
      </w:r>
      <w:r>
        <w:rPr>
          <w:rFonts w:hint="default" w:ascii="Times New Roman" w:hAnsi="Times New Roman" w:eastAsia="宋体" w:cs="Times New Roman"/>
          <w:color w:val="000000"/>
          <w:kern w:val="0"/>
          <w:sz w:val="24"/>
          <w:szCs w:val="24"/>
        </w:rPr>
        <w:t>元整）。请自备信封，当场清点密封后递交。未成交供应商的保证金在评标结束后当场退还，成交供应商的保证金在合同签订后无息退还。未提交保证金不得参加本项目谈判。</w:t>
      </w:r>
    </w:p>
    <w:p>
      <w:pPr>
        <w:pStyle w:val="3"/>
        <w:bidi w:val="0"/>
        <w:rPr>
          <w:rFonts w:hint="default" w:ascii="Times New Roman" w:hAnsi="Times New Roman" w:eastAsia="宋体" w:cs="Times New Roman"/>
          <w:lang w:eastAsia="zh-CN"/>
        </w:rPr>
      </w:pPr>
      <w:bookmarkStart w:id="48" w:name="_Toc9034"/>
      <w:r>
        <w:rPr>
          <w:rFonts w:hint="default" w:ascii="Times New Roman" w:hAnsi="Times New Roman" w:eastAsia="宋体" w:cs="Times New Roman"/>
          <w:lang w:val="en-US" w:eastAsia="zh-CN"/>
        </w:rPr>
        <w:t xml:space="preserve">1.8 </w:t>
      </w:r>
      <w:bookmarkEnd w:id="41"/>
      <w:bookmarkEnd w:id="42"/>
      <w:bookmarkEnd w:id="43"/>
      <w:bookmarkEnd w:id="44"/>
      <w:bookmarkEnd w:id="45"/>
      <w:bookmarkEnd w:id="46"/>
      <w:r>
        <w:rPr>
          <w:rFonts w:hint="eastAsia" w:ascii="Times New Roman" w:hAnsi="Times New Roman" w:eastAsia="宋体" w:cs="Times New Roman"/>
        </w:rPr>
        <w:t>疫情防控要求</w:t>
      </w:r>
      <w:bookmarkEnd w:id="48"/>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color w:val="000000"/>
          <w:kern w:val="0"/>
          <w:sz w:val="24"/>
        </w:rPr>
        <w:t>响应供应商入校参与谈判时，应严格按照楚雄市及学校新冠疫情防控要求应主动出示健康码绿码、行程卡绿码、已接种新冠疫苗、体温低于37.3℃，并按要求佩戴口罩，如14天内有州外旅居史的还需出示48小时以内的核酸检测阴性报告。</w:t>
      </w:r>
    </w:p>
    <w:p>
      <w:pPr>
        <w:pStyle w:val="3"/>
        <w:bidi w:val="0"/>
        <w:rPr>
          <w:rFonts w:hint="default" w:ascii="Times New Roman" w:hAnsi="Times New Roman" w:eastAsia="宋体" w:cs="Times New Roman"/>
          <w:b/>
          <w:bCs w:val="0"/>
          <w:szCs w:val="24"/>
        </w:rPr>
      </w:pPr>
      <w:bookmarkStart w:id="49" w:name="_Toc18508"/>
      <w:r>
        <w:rPr>
          <w:rFonts w:hint="default" w:ascii="Times New Roman" w:hAnsi="Times New Roman" w:eastAsia="宋体" w:cs="Times New Roman"/>
          <w:b/>
          <w:bCs w:val="0"/>
          <w:lang w:val="en-US" w:eastAsia="zh-CN"/>
        </w:rPr>
        <w:t xml:space="preserve">1.9 </w:t>
      </w:r>
      <w:r>
        <w:rPr>
          <w:rFonts w:hint="default" w:ascii="Times New Roman" w:hAnsi="Times New Roman" w:eastAsia="宋体" w:cs="Times New Roman"/>
          <w:b/>
          <w:bCs w:val="0"/>
          <w:lang w:eastAsia="zh-CN"/>
        </w:rPr>
        <w:t>联系方式</w:t>
      </w:r>
      <w:bookmarkEnd w:id="49"/>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称：楚雄医药高等专科学校</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址：楚雄市东瓜镇</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bookmarkStart w:id="50" w:name="_Toc28359086"/>
      <w:bookmarkStart w:id="51" w:name="_Toc28359009"/>
      <w:r>
        <w:rPr>
          <w:rFonts w:hint="default" w:ascii="Times New Roman" w:hAnsi="Times New Roman" w:eastAsia="宋体" w:cs="Times New Roman"/>
          <w:sz w:val="24"/>
          <w:szCs w:val="24"/>
        </w:rPr>
        <w:t>0878-3875679</w:t>
      </w:r>
    </w:p>
    <w:bookmarkEnd w:id="50"/>
    <w:bookmarkEnd w:id="51"/>
    <w:p>
      <w:pPr>
        <w:spacing w:line="46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联系人：</w:t>
      </w:r>
      <w:r>
        <w:rPr>
          <w:rFonts w:hint="eastAsia" w:ascii="Times New Roman" w:hAnsi="Times New Roman" w:eastAsia="宋体" w:cs="Times New Roman"/>
          <w:sz w:val="24"/>
          <w:szCs w:val="24"/>
          <w:highlight w:val="none"/>
          <w:lang w:eastAsia="zh-CN"/>
        </w:rPr>
        <w:t>杨</w:t>
      </w:r>
      <w:r>
        <w:rPr>
          <w:rFonts w:hint="default" w:ascii="Times New Roman" w:hAnsi="Times New Roman" w:eastAsia="宋体" w:cs="Times New Roman"/>
          <w:sz w:val="24"/>
          <w:szCs w:val="24"/>
          <w:highlight w:val="none"/>
        </w:rPr>
        <w:t xml:space="preserve">老师   </w:t>
      </w:r>
    </w:p>
    <w:p>
      <w:pPr>
        <w:spacing w:line="460" w:lineRule="exact"/>
        <w:ind w:firstLine="480" w:firstLineChars="200"/>
        <w:rPr>
          <w:rFonts w:hint="default" w:ascii="Times New Roman" w:hAnsi="Times New Roman" w:eastAsia="宋体" w:cs="Times New Roman"/>
          <w:sz w:val="24"/>
          <w:szCs w:val="24"/>
          <w:highlight w:val="none"/>
        </w:rPr>
      </w:pPr>
    </w:p>
    <w:p>
      <w:pPr>
        <w:spacing w:line="460" w:lineRule="exact"/>
        <w:ind w:firstLine="480" w:firstLineChars="200"/>
        <w:rPr>
          <w:rFonts w:hint="default" w:ascii="Times New Roman" w:hAnsi="Times New Roman" w:eastAsia="宋体" w:cs="Times New Roman"/>
          <w:sz w:val="24"/>
          <w:szCs w:val="24"/>
          <w:highlight w:val="none"/>
        </w:rPr>
        <w:sectPr>
          <w:headerReference r:id="rId6" w:type="default"/>
          <w:footerReference r:id="rId7" w:type="default"/>
          <w:pgSz w:w="11906" w:h="16838"/>
          <w:pgMar w:top="1418" w:right="1134" w:bottom="1134" w:left="1417" w:header="936" w:footer="720" w:gutter="0"/>
          <w:cols w:space="720" w:num="1"/>
          <w:docGrid w:linePitch="331" w:charSpace="0"/>
        </w:sectPr>
      </w:pPr>
    </w:p>
    <w:p>
      <w:pPr>
        <w:pStyle w:val="2"/>
        <w:bidi w:val="0"/>
        <w:jc w:val="center"/>
        <w:rPr>
          <w:rFonts w:hint="eastAsia" w:ascii="宋体" w:hAnsi="宋体" w:eastAsia="宋体" w:cs="宋体"/>
        </w:rPr>
      </w:pPr>
      <w:bookmarkStart w:id="52" w:name="_Toc25948_WPSOffice_Level1"/>
      <w:bookmarkStart w:id="53" w:name="_Toc60996675"/>
      <w:bookmarkStart w:id="54" w:name="_Toc10940"/>
      <w:bookmarkStart w:id="55" w:name="_第二章__投标人须知"/>
      <w:r>
        <w:rPr>
          <w:rFonts w:hint="default" w:ascii="Times New Roman" w:hAnsi="Times New Roman" w:eastAsia="宋体" w:cs="Times New Roman"/>
          <w:lang w:val="en-US" w:eastAsia="zh-CN"/>
        </w:rPr>
        <w:t>第二章</w:t>
      </w:r>
      <w:bookmarkEnd w:id="52"/>
      <w:bookmarkEnd w:id="53"/>
      <w:r>
        <w:rPr>
          <w:rFonts w:hint="default" w:ascii="Times New Roman" w:hAnsi="Times New Roman" w:eastAsia="宋体" w:cs="Times New Roman"/>
          <w:lang w:val="en-US" w:eastAsia="zh-CN"/>
        </w:rPr>
        <w:t xml:space="preserve">   供应商须知</w:t>
      </w:r>
      <w:bookmarkEnd w:id="54"/>
    </w:p>
    <w:p>
      <w:pPr>
        <w:widowControl w:val="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供应商须知前附表</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709" w:type="dxa"/>
            <w:tcBorders>
              <w:top w:val="thinThickSmallGap" w:color="auto" w:sz="18"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序号</w:t>
            </w:r>
          </w:p>
        </w:tc>
        <w:tc>
          <w:tcPr>
            <w:tcW w:w="1843" w:type="dxa"/>
            <w:tcBorders>
              <w:top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项目名称</w:t>
            </w:r>
          </w:p>
        </w:tc>
        <w:tc>
          <w:tcPr>
            <w:tcW w:w="6520" w:type="dxa"/>
            <w:tcBorders>
              <w:top w:val="thinThickSmallGap" w:color="auto" w:sz="18" w:space="0"/>
              <w:right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采购单位</w:t>
            </w:r>
          </w:p>
        </w:tc>
        <w:tc>
          <w:tcPr>
            <w:tcW w:w="6520" w:type="dxa"/>
            <w:tcBorders>
              <w:right w:val="thickThinSmallGap" w:color="auto" w:sz="18" w:space="0"/>
            </w:tcBorders>
            <w:noWrap/>
            <w:vAlign w:val="center"/>
          </w:tcPr>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名称：楚雄医药高等专科学校</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地址：楚雄市东瓜镇</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联系方式：0878-3875679</w:t>
            </w:r>
          </w:p>
          <w:p>
            <w:pPr>
              <w:adjustRightInd w:val="0"/>
              <w:snapToGrid w:val="0"/>
              <w:spacing w:before="120" w:beforeLines="50"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联系人：</w:t>
            </w:r>
            <w:r>
              <w:rPr>
                <w:rFonts w:hint="default" w:ascii="Times New Roman" w:hAnsi="Times New Roman" w:eastAsia="宋体" w:cs="Times New Roman"/>
                <w:sz w:val="21"/>
                <w:szCs w:val="21"/>
                <w:highlight w:val="none"/>
                <w:lang w:eastAsia="zh-CN"/>
              </w:rPr>
              <w:t>杨</w:t>
            </w:r>
            <w:r>
              <w:rPr>
                <w:rFonts w:hint="default" w:ascii="Times New Roman" w:hAnsi="Times New Roman" w:eastAsia="宋体" w:cs="Times New Roman"/>
                <w:sz w:val="21"/>
                <w:szCs w:val="21"/>
                <w:highlight w:val="none"/>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采购代理机构</w:t>
            </w:r>
          </w:p>
        </w:tc>
        <w:tc>
          <w:tcPr>
            <w:tcW w:w="6520" w:type="dxa"/>
            <w:tcBorders>
              <w:right w:val="thickThinSmallGap" w:color="auto" w:sz="18" w:space="0"/>
            </w:tcBorders>
            <w:noWrap/>
            <w:vAlign w:val="center"/>
          </w:tcPr>
          <w:p>
            <w:pPr>
              <w:spacing w:line="46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项目名称</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楚雄医药高等专科学校保卫处办公用品采购项目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项目编号</w:t>
            </w:r>
          </w:p>
        </w:tc>
        <w:tc>
          <w:tcPr>
            <w:tcW w:w="6520" w:type="dxa"/>
            <w:tcBorders>
              <w:right w:val="thickThinSmallGap" w:color="auto" w:sz="18" w:space="0"/>
            </w:tcBorders>
            <w:noWrap/>
            <w:vAlign w:val="center"/>
          </w:tcPr>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CXYZC【2022】第4号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5</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采购预算</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13032.1元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采购内容</w:t>
            </w:r>
          </w:p>
        </w:tc>
        <w:tc>
          <w:tcPr>
            <w:tcW w:w="6520" w:type="dxa"/>
            <w:tcBorders>
              <w:right w:val="thickThinSmallGap" w:color="auto" w:sz="18" w:space="0"/>
            </w:tcBorders>
            <w:noWrap/>
            <w:vAlign w:val="center"/>
          </w:tcPr>
          <w:p>
            <w:pPr>
              <w:spacing w:line="46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采购保卫处办公用品一批，其中部分办公用品需要提供样品，采购清单及样品要求，详见“第五章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7</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交货期限</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根据采购方要求</w:t>
            </w:r>
            <w:r>
              <w:rPr>
                <w:rFonts w:hint="eastAsia" w:ascii="Times New Roman" w:hAnsi="Times New Roman" w:eastAsia="宋体" w:cs="Times New Roman"/>
                <w:sz w:val="21"/>
                <w:szCs w:val="21"/>
                <w:lang w:val="en-US" w:eastAsia="zh-CN"/>
              </w:rPr>
              <w:t>供货</w:t>
            </w:r>
            <w:r>
              <w:rPr>
                <w:rFonts w:hint="default" w:ascii="Times New Roman" w:hAnsi="Times New Roman" w:eastAsia="宋体" w:cs="Times New Roman"/>
                <w:sz w:val="21"/>
                <w:szCs w:val="21"/>
                <w:lang w:val="en-US" w:eastAsia="zh-CN"/>
              </w:rPr>
              <w:t>，供货时间为合同签订后15个日历天内。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8</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供应商资格要求</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1.基本资格条件：供应商需具备《中华人民共和国政府采购法》第二十二条规定的基本资格条件，并提供以下资格证明文件：</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（1）法人或者其他组织的营业执照等证明文件，自然人的身份证明；</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（2）依法缴纳税收的相关材料；</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）参加政府采购活动前3年内在经营活动中没有重大违法记录的书面声明；</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p>
        </w:tc>
        <w:tc>
          <w:tcPr>
            <w:tcW w:w="1843" w:type="dxa"/>
            <w:tcBorders>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p>
        </w:tc>
        <w:tc>
          <w:tcPr>
            <w:tcW w:w="6520" w:type="dxa"/>
            <w:tcBorders>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2.特定资格条件：</w:t>
            </w:r>
          </w:p>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投标人具有</w:t>
            </w:r>
            <w:r>
              <w:rPr>
                <w:rFonts w:hint="eastAsia" w:ascii="Times New Roman" w:hAnsi="Times New Roman" w:eastAsia="宋体" w:cs="Times New Roman"/>
                <w:sz w:val="21"/>
                <w:szCs w:val="21"/>
                <w:lang w:val="en-US" w:eastAsia="zh-CN"/>
              </w:rPr>
              <w:t>办公用品</w:t>
            </w:r>
            <w:r>
              <w:rPr>
                <w:rFonts w:hint="default" w:ascii="Times New Roman" w:hAnsi="Times New Roman" w:eastAsia="宋体" w:cs="Times New Roman"/>
                <w:sz w:val="21"/>
                <w:szCs w:val="21"/>
              </w:rPr>
              <w:t>经营企业许可证或经营备案凭证，并有相应经营范围（提供相对应许可证）。</w:t>
            </w:r>
          </w:p>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供应商在投标截止时间前未被列入“信用中国”网站（www.creditchina.gov.cn）失信被执行人、重大税收违法案件当事人名单、政府采购严重违法失信行为记录名单及中国政府采购网（www.ccgp.gov.cn）“政府采购严重违法失信行为信息记录”（</w:t>
            </w:r>
            <w:r>
              <w:rPr>
                <w:rFonts w:hint="default" w:ascii="Times New Roman" w:hAnsi="Times New Roman" w:eastAsia="宋体" w:cs="Times New Roman"/>
                <w:sz w:val="21"/>
                <w:szCs w:val="21"/>
                <w:lang w:val="en-US" w:eastAsia="zh-CN"/>
              </w:rPr>
              <w:t>提供查询截图</w:t>
            </w:r>
            <w:r>
              <w:rPr>
                <w:rFonts w:hint="default" w:ascii="Times New Roman" w:hAnsi="Times New Roman" w:eastAsia="宋体" w:cs="Times New Roman"/>
                <w:sz w:val="21"/>
                <w:szCs w:val="21"/>
                <w:lang w:eastAsia="zh-CN"/>
              </w:rPr>
              <w:t>）。若为失信企业，将取消成交资格。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9</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联合体投标</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现场踏勘</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11</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样品</w:t>
            </w:r>
          </w:p>
        </w:tc>
        <w:tc>
          <w:tcPr>
            <w:tcW w:w="6520" w:type="dxa"/>
            <w:tcBorders>
              <w:top w:val="single" w:color="auto" w:sz="4" w:space="0"/>
              <w:bottom w:val="thickThinSmallGap" w:color="auto" w:sz="18" w:space="0"/>
              <w:right w:val="thickThinSmallGap" w:color="auto" w:sz="18" w:space="0"/>
            </w:tcBorders>
            <w:noWrap/>
            <w:vAlign w:val="center"/>
          </w:tcPr>
          <w:p>
            <w:pPr>
              <w:widowControl w:val="0"/>
              <w:spacing w:line="300" w:lineRule="exact"/>
              <w:ind w:left="0"/>
              <w:jc w:val="left"/>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bidi="ar-SA"/>
              </w:rPr>
              <w:t>需要提供样品，详见“第五章 采购需求”中的样品要求条款。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12</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一般条款允许偏离的最高项数</w:t>
            </w:r>
          </w:p>
        </w:tc>
        <w:tc>
          <w:tcPr>
            <w:tcW w:w="6520" w:type="dxa"/>
            <w:tcBorders>
              <w:top w:val="single" w:color="auto" w:sz="4" w:space="0"/>
              <w:bottom w:val="thickThinSmallGap" w:color="auto" w:sz="18" w:space="0"/>
              <w:right w:val="thickThinSmallGap" w:color="auto" w:sz="18" w:space="0"/>
            </w:tcBorders>
            <w:noWrap/>
            <w:vAlign w:val="center"/>
          </w:tcPr>
          <w:p>
            <w:pPr>
              <w:adjustRightInd w:val="0"/>
              <w:snapToGrid w:val="0"/>
              <w:spacing w:before="120" w:beforeLines="50" w:line="360" w:lineRule="auto"/>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一般商务和技术条款（参数），偏离项数之和≤ </w:t>
            </w:r>
            <w:r>
              <w:rPr>
                <w:rFonts w:hint="default" w:ascii="Times New Roman" w:hAnsi="Times New Roman" w:eastAsia="宋体" w:cs="Times New Roman"/>
                <w:kern w:val="0"/>
                <w:sz w:val="21"/>
                <w:szCs w:val="21"/>
                <w:u w:val="single"/>
              </w:rPr>
              <w:t xml:space="preserve"> 0 </w:t>
            </w:r>
            <w:r>
              <w:rPr>
                <w:rFonts w:hint="default" w:ascii="Times New Roman" w:hAnsi="Times New Roman" w:eastAsia="宋体" w:cs="Times New Roman"/>
                <w:kern w:val="0"/>
                <w:sz w:val="21"/>
                <w:szCs w:val="21"/>
              </w:rPr>
              <w:t>项，否则将导致无效谈判。</w:t>
            </w:r>
          </w:p>
          <w:p>
            <w:pPr>
              <w:widowControl w:val="0"/>
              <w:spacing w:line="300" w:lineRule="exact"/>
              <w:ind w:left="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（条款数（最高项数）的统计方法：相同内容的条款不重复计算项数）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709" w:type="dxa"/>
            <w:tcBorders>
              <w:top w:val="single" w:color="auto" w:sz="4" w:space="0"/>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13</w:t>
            </w:r>
          </w:p>
        </w:tc>
        <w:tc>
          <w:tcPr>
            <w:tcW w:w="1843" w:type="dxa"/>
            <w:tcBorders>
              <w:top w:val="single" w:color="auto" w:sz="4"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供应商提出问题的截止时间</w:t>
            </w:r>
          </w:p>
        </w:tc>
        <w:tc>
          <w:tcPr>
            <w:tcW w:w="6520" w:type="dxa"/>
            <w:tcBorders>
              <w:top w:val="single" w:color="auto" w:sz="4" w:space="0"/>
              <w:bottom w:val="thickThinSmallGap" w:color="auto" w:sz="18"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日17：00时前，所有获取了谈判文件的潜在供应商以书面的形式向学校中心提问。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14</w:t>
            </w:r>
          </w:p>
        </w:tc>
        <w:tc>
          <w:tcPr>
            <w:tcW w:w="1843" w:type="dxa"/>
            <w:tcBorders>
              <w:top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谈判文件澄清截止时间</w:t>
            </w:r>
          </w:p>
        </w:tc>
        <w:tc>
          <w:tcPr>
            <w:tcW w:w="6520" w:type="dxa"/>
            <w:tcBorders>
              <w:top w:val="thinThickSmallGap" w:color="auto" w:sz="18"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日18：00时前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15</w:t>
            </w:r>
          </w:p>
        </w:tc>
        <w:tc>
          <w:tcPr>
            <w:tcW w:w="1843" w:type="dxa"/>
            <w:tcBorders>
              <w:top w:val="single" w:color="auto" w:sz="4"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构成谈判文件的其他资料</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谈判文件的澄清或修改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16</w:t>
            </w:r>
          </w:p>
        </w:tc>
        <w:tc>
          <w:tcPr>
            <w:tcW w:w="1843" w:type="dxa"/>
            <w:tcBorders>
              <w:top w:val="single" w:color="auto" w:sz="4"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投标有效期</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60日历天（从提交首次响应文件截止时间之日起计算）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17</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谈判保证金</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详见谈判公告第七条“</w:t>
            </w:r>
            <w:r>
              <w:rPr>
                <w:rFonts w:hint="eastAsia" w:ascii="Times New Roman" w:hAnsi="Times New Roman" w:eastAsia="宋体" w:cs="Times New Roman"/>
                <w:sz w:val="21"/>
                <w:szCs w:val="21"/>
                <w:lang w:val="en-US" w:eastAsia="zh-CN"/>
              </w:rPr>
              <w:t>谈判保证金</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09" w:type="dxa"/>
            <w:tcBorders>
              <w:left w:val="thinThickSmallGap" w:color="auto" w:sz="18" w:space="0"/>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18</w:t>
            </w:r>
          </w:p>
        </w:tc>
        <w:tc>
          <w:tcPr>
            <w:tcW w:w="1843" w:type="dxa"/>
            <w:tcBorders>
              <w:bottom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签字和盖章要求</w:t>
            </w:r>
          </w:p>
        </w:tc>
        <w:tc>
          <w:tcPr>
            <w:tcW w:w="6520" w:type="dxa"/>
            <w:tcBorders>
              <w:bottom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按照谈判文件格式在需要盖单位章或签字的地方进行签章和签名。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top w:val="single" w:color="auto" w:sz="4"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19</w:t>
            </w:r>
          </w:p>
        </w:tc>
        <w:tc>
          <w:tcPr>
            <w:tcW w:w="1843" w:type="dxa"/>
            <w:tcBorders>
              <w:top w:val="single"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响应文件份数</w:t>
            </w:r>
          </w:p>
        </w:tc>
        <w:tc>
          <w:tcPr>
            <w:tcW w:w="6520" w:type="dxa"/>
            <w:tcBorders>
              <w:top w:val="single"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纸质响应文件一正一副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w:t>
            </w:r>
          </w:p>
        </w:tc>
        <w:tc>
          <w:tcPr>
            <w:tcW w:w="1843" w:type="dxa"/>
            <w:tcBorders>
              <w:top w:val="dotted" w:color="auto" w:sz="4"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提交响应文件</w:t>
            </w:r>
          </w:p>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递交及截止时间</w:t>
            </w:r>
          </w:p>
        </w:tc>
        <w:tc>
          <w:tcPr>
            <w:tcW w:w="6520" w:type="dxa"/>
            <w:tcBorders>
              <w:top w:val="dotted" w:color="auto" w:sz="4" w:space="0"/>
              <w:right w:val="thickThinSmallGap" w:color="auto" w:sz="18" w:space="0"/>
            </w:tcBorders>
            <w:noWrap/>
            <w:vAlign w:val="center"/>
          </w:tcPr>
          <w:p>
            <w:pPr>
              <w:spacing w:line="40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响应文件递交时间：202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lang w:val="en-US" w:eastAsia="zh-CN"/>
              </w:rPr>
              <w:t>11</w:t>
            </w:r>
            <w:r>
              <w:rPr>
                <w:rFonts w:hint="default" w:ascii="Times New Roman" w:hAnsi="Times New Roman" w:eastAsia="宋体" w:cs="Times New Roman"/>
                <w:sz w:val="21"/>
                <w:szCs w:val="21"/>
                <w:highlight w:val="none"/>
              </w:rPr>
              <w:t>日</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:00时至</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:30时(北京时间)</w:t>
            </w:r>
          </w:p>
          <w:p>
            <w:pPr>
              <w:spacing w:line="400" w:lineRule="exac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响应文件截止时间：202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lang w:val="en-US" w:eastAsia="zh-CN"/>
              </w:rPr>
              <w:t>11</w:t>
            </w:r>
            <w:r>
              <w:rPr>
                <w:rFonts w:hint="default" w:ascii="Times New Roman" w:hAnsi="Times New Roman" w:eastAsia="宋体" w:cs="Times New Roman"/>
                <w:sz w:val="21"/>
                <w:szCs w:val="21"/>
                <w:highlight w:val="none"/>
              </w:rPr>
              <w:t>日</w:t>
            </w:r>
            <w:r>
              <w:rPr>
                <w:rFonts w:hint="eastAsia"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21</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响应文件开启地点</w:t>
            </w:r>
          </w:p>
        </w:tc>
        <w:tc>
          <w:tcPr>
            <w:tcW w:w="6520" w:type="dxa"/>
            <w:tcBorders>
              <w:right w:val="thickThinSmallGap" w:color="auto" w:sz="18" w:space="0"/>
            </w:tcBorders>
            <w:noWrap/>
            <w:vAlign w:val="center"/>
          </w:tcPr>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楚雄医药高等专科学校远志楼8楼保卫处会议室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22</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谈判小组</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谈判小组的构成：3人及以上单数。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3</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评审方法</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4</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推荐的成交候选人数量</w:t>
            </w:r>
          </w:p>
        </w:tc>
        <w:tc>
          <w:tcPr>
            <w:tcW w:w="6520" w:type="dxa"/>
            <w:tcBorders>
              <w:right w:val="thickThinSmallGap" w:color="auto" w:sz="18" w:space="0"/>
            </w:tcBorders>
            <w:noWrap/>
            <w:vAlign w:val="center"/>
          </w:tcPr>
          <w:p>
            <w:pPr>
              <w:widowControl w:val="0"/>
              <w:spacing w:line="300" w:lineRule="exact"/>
              <w:ind w:left="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5</w:t>
            </w:r>
          </w:p>
        </w:tc>
        <w:tc>
          <w:tcPr>
            <w:tcW w:w="1843" w:type="dxa"/>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履约保证金</w:t>
            </w:r>
          </w:p>
        </w:tc>
        <w:tc>
          <w:tcPr>
            <w:tcW w:w="6520" w:type="dxa"/>
            <w:tcBorders>
              <w:right w:val="thickThinSmallGap" w:color="auto" w:sz="18" w:space="0"/>
            </w:tcBorders>
            <w:noWrap/>
            <w:vAlign w:val="center"/>
          </w:tcPr>
          <w:p>
            <w:pPr>
              <w:widowControl w:val="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合同签订之前，供应商按合同金额的3%向采购人交纳履约保证金，履约保证金在供应商按合同约定交货验收合格后转为质量保证金，</w:t>
            </w:r>
            <w:r>
              <w:rPr>
                <w:rFonts w:hint="eastAsia" w:ascii="Times New Roman" w:hAnsi="Times New Roman" w:eastAsia="宋体" w:cs="Times New Roman"/>
                <w:kern w:val="0"/>
                <w:sz w:val="21"/>
                <w:szCs w:val="21"/>
                <w:lang w:val="en-US" w:eastAsia="zh-CN" w:bidi="ar-SA"/>
              </w:rPr>
              <w:t>非人为损坏</w:t>
            </w:r>
            <w:r>
              <w:rPr>
                <w:rFonts w:hint="default" w:ascii="Times New Roman" w:hAnsi="Times New Roman" w:eastAsia="宋体" w:cs="Times New Roman"/>
                <w:kern w:val="0"/>
                <w:sz w:val="21"/>
                <w:szCs w:val="21"/>
                <w:lang w:val="en-US" w:eastAsia="zh-CN" w:bidi="ar-SA"/>
              </w:rPr>
              <w:t>满</w:t>
            </w:r>
            <w:r>
              <w:rPr>
                <w:rFonts w:hint="eastAsia" w:ascii="Times New Roman" w:hAnsi="Times New Roman" w:eastAsia="宋体" w:cs="Times New Roman"/>
                <w:kern w:val="0"/>
                <w:sz w:val="21"/>
                <w:szCs w:val="21"/>
                <w:lang w:val="en-US" w:eastAsia="zh-CN" w:bidi="ar-SA"/>
              </w:rPr>
              <w:t>1年</w:t>
            </w:r>
            <w:r>
              <w:rPr>
                <w:rFonts w:hint="default" w:ascii="Times New Roman" w:hAnsi="Times New Roman" w:eastAsia="宋体" w:cs="Times New Roman"/>
                <w:kern w:val="0"/>
                <w:sz w:val="21"/>
                <w:szCs w:val="21"/>
                <w:lang w:val="en-US" w:eastAsia="zh-CN" w:bidi="ar-SA"/>
              </w:rPr>
              <w:t>在20个工作日内甲方一次性无息退还乙方。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26</w:t>
            </w:r>
          </w:p>
        </w:tc>
        <w:tc>
          <w:tcPr>
            <w:tcW w:w="1843" w:type="dxa"/>
            <w:tcBorders>
              <w:bottom w:val="thickThinSmallGap" w:color="auto" w:sz="18" w:space="0"/>
            </w:tcBorders>
            <w:noWrap/>
            <w:vAlign w:val="center"/>
          </w:tcPr>
          <w:p>
            <w:pPr>
              <w:widowControl w:val="0"/>
              <w:spacing w:line="300" w:lineRule="exact"/>
              <w:ind w:left="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其他要求</w:t>
            </w:r>
          </w:p>
        </w:tc>
        <w:tc>
          <w:tcPr>
            <w:tcW w:w="6520" w:type="dxa"/>
            <w:tcBorders>
              <w:bottom w:val="thickThinSmallGap" w:color="auto" w:sz="18" w:space="0"/>
              <w:right w:val="thickThinSmallGap" w:color="auto" w:sz="18" w:space="0"/>
            </w:tcBorders>
            <w:noWrap/>
          </w:tcPr>
          <w:p>
            <w:pPr>
              <w:spacing w:line="4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bookmarkEnd w:id="55"/>
    </w:tbl>
    <w:p>
      <w:pPr>
        <w:keepNext/>
        <w:widowControl w:val="0"/>
        <w:tabs>
          <w:tab w:val="left" w:pos="360"/>
          <w:tab w:val="left" w:pos="1021"/>
        </w:tabs>
        <w:adjustRightInd w:val="0"/>
        <w:spacing w:before="0" w:line="240" w:lineRule="atLeast"/>
        <w:jc w:val="both"/>
        <w:textAlignment w:val="baseline"/>
        <w:outlineLvl w:val="1"/>
        <w:rPr>
          <w:rStyle w:val="13"/>
          <w:rFonts w:hint="default" w:ascii="Times New Roman" w:hAnsi="Times New Roman" w:eastAsia="宋体" w:cs="Times New Roman"/>
          <w:lang w:val="en-US" w:eastAsia="zh-CN"/>
        </w:rPr>
      </w:pPr>
      <w:bookmarkStart w:id="56" w:name="_Toc60996677"/>
      <w:bookmarkStart w:id="57" w:name="_Toc9300_WPSOffice_Level1"/>
      <w:bookmarkStart w:id="58" w:name="_Toc19702"/>
      <w:bookmarkStart w:id="59" w:name="_Toc25948_WPSOffice_Level2"/>
      <w:bookmarkStart w:id="60" w:name="_Toc24244_WPSOffice_Level1"/>
      <w:bookmarkStart w:id="61" w:name="__x000F_一、总__则"/>
      <w:r>
        <w:rPr>
          <w:rStyle w:val="13"/>
          <w:rFonts w:hint="default" w:ascii="Times New Roman" w:hAnsi="Times New Roman" w:eastAsia="宋体" w:cs="Times New Roman"/>
          <w:lang w:val="en-US" w:eastAsia="zh-CN"/>
        </w:rPr>
        <w:t>2.1 总则</w:t>
      </w:r>
      <w:bookmarkEnd w:id="56"/>
      <w:bookmarkEnd w:id="57"/>
      <w:bookmarkEnd w:id="58"/>
      <w:bookmarkEnd w:id="59"/>
      <w:bookmarkEnd w:id="60"/>
    </w:p>
    <w:bookmarkEnd w:id="61"/>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2" w:name="_Toc28341"/>
      <w:r>
        <w:rPr>
          <w:rFonts w:hint="default" w:ascii="Times New Roman" w:hAnsi="Times New Roman" w:eastAsia="宋体" w:cs="Times New Roman"/>
          <w:sz w:val="24"/>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项目概况</w:t>
      </w:r>
      <w:bookmarkEnd w:id="6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为满足正常办公需求，我校保卫处拟采购办公用品一批</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参照《政府采购法》及我校采购管理相关规定，本次</w:t>
      </w:r>
      <w:r>
        <w:rPr>
          <w:rFonts w:hint="default" w:ascii="Times New Roman" w:hAnsi="Times New Roman" w:eastAsia="宋体" w:cs="Times New Roman"/>
          <w:sz w:val="24"/>
          <w:lang w:val="en-US" w:eastAsia="zh-CN"/>
        </w:rPr>
        <w:t>保卫处办公用品</w:t>
      </w:r>
      <w:r>
        <w:rPr>
          <w:rFonts w:hint="default" w:ascii="Times New Roman" w:hAnsi="Times New Roman" w:eastAsia="宋体" w:cs="Times New Roman"/>
          <w:sz w:val="24"/>
          <w:lang w:eastAsia="zh-CN"/>
        </w:rPr>
        <w:t>采购采用竞争性谈判</w:t>
      </w:r>
      <w:r>
        <w:rPr>
          <w:rFonts w:hint="default" w:ascii="Times New Roman" w:hAnsi="Times New Roman" w:eastAsia="宋体" w:cs="Times New Roman"/>
          <w:sz w:val="24"/>
        </w:rPr>
        <w:t>的方式进行。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本项目采购人、采购代理机构、项目名称、项目编号、项目预算及最高限价：见“供应商须知前附表”。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3" w:name="_Toc10402"/>
      <w:bookmarkStart w:id="64" w:name="_Toc468805854"/>
      <w:r>
        <w:rPr>
          <w:rFonts w:hint="default" w:ascii="Times New Roman" w:hAnsi="Times New Roman" w:eastAsia="宋体" w:cs="Times New Roman"/>
          <w:sz w:val="24"/>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采购内容及交货期</w:t>
      </w:r>
      <w:bookmarkEnd w:id="6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5" w:name="_Toc29818_WPSOffice_Level2"/>
      <w:bookmarkStart w:id="66" w:name="_Toc14054_WPSOffice_Level3"/>
      <w:bookmarkStart w:id="67" w:name="_Toc17687_WPSOffice_Level2"/>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本项目采购内容：见“供应商须知前附表”。</w:t>
      </w:r>
      <w:bookmarkEnd w:id="65"/>
      <w:bookmarkEnd w:id="66"/>
      <w:bookmarkEnd w:id="67"/>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68" w:name="_Toc20587_WPSOffice_Level3"/>
      <w:bookmarkStart w:id="69" w:name="_Toc22352_WPSOffice_Level2"/>
      <w:bookmarkStart w:id="70" w:name="_Toc23972_WPSOffice_Level2"/>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本项目交货期：见“供应商须知前附表”。</w:t>
      </w:r>
      <w:bookmarkEnd w:id="68"/>
      <w:bookmarkEnd w:id="69"/>
      <w:bookmarkEnd w:id="7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1" w:name="_Toc10248"/>
      <w:r>
        <w:rPr>
          <w:rFonts w:hint="default" w:ascii="Times New Roman" w:hAnsi="Times New Roman" w:eastAsia="宋体" w:cs="Times New Roman"/>
          <w:sz w:val="24"/>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供应商资格要求</w:t>
      </w:r>
      <w:bookmarkEnd w:id="7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供应商应当符合《中华人民共和国政府采购法》第二十二条规定的条件。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采购人根据本项目的特殊要求规定供应商应具备的特定条件：</w:t>
      </w:r>
    </w:p>
    <w:p>
      <w:pPr>
        <w:spacing w:line="460" w:lineRule="exact"/>
        <w:ind w:firstLine="720" w:firstLineChars="3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投标人具有</w:t>
      </w:r>
      <w:r>
        <w:rPr>
          <w:rFonts w:hint="eastAsia" w:ascii="Times New Roman" w:hAnsi="Times New Roman" w:eastAsia="宋体" w:cs="Times New Roman"/>
          <w:sz w:val="24"/>
          <w:szCs w:val="24"/>
          <w:lang w:val="en-US" w:eastAsia="zh-CN"/>
        </w:rPr>
        <w:t>办公用品</w:t>
      </w:r>
      <w:r>
        <w:rPr>
          <w:rFonts w:hint="default" w:ascii="Times New Roman" w:hAnsi="Times New Roman" w:eastAsia="宋体" w:cs="Times New Roman"/>
          <w:sz w:val="24"/>
          <w:szCs w:val="24"/>
        </w:rPr>
        <w:t>经营企业许可证或经营备案凭证，并有相应经营范围（提供相对应许可证）。</w:t>
      </w:r>
    </w:p>
    <w:p>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720" w:firstLineChars="300"/>
        <w:textAlignment w:val="auto"/>
        <w:rPr>
          <w:rFonts w:hint="default" w:ascii="Times New Roman" w:hAnsi="Times New Roman" w:eastAsia="宋体" w:cs="Times New Roman"/>
          <w:sz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供应商在投标截止时间前未被列入“信用中国”网站（www.creditchina.gov.cn）失信被执行人、重大税收违法案件当事人名单、政府采购严重违法失信行为记录名单及中国政府采购网（www.ccgp.gov.cn）“政府采购严重违法失信行为信息记录”（</w:t>
      </w:r>
      <w:r>
        <w:rPr>
          <w:rFonts w:hint="eastAsia" w:ascii="Times New Roman" w:hAnsi="Times New Roman" w:eastAsia="宋体" w:cs="Times New Roman"/>
          <w:sz w:val="24"/>
          <w:szCs w:val="24"/>
          <w:lang w:val="en-US" w:eastAsia="zh-CN"/>
        </w:rPr>
        <w:t>提供查询截图</w:t>
      </w:r>
      <w:r>
        <w:rPr>
          <w:rFonts w:hint="eastAsia" w:ascii="Times New Roman" w:hAnsi="Times New Roman" w:eastAsia="宋体" w:cs="Times New Roman"/>
          <w:sz w:val="24"/>
          <w:szCs w:val="24"/>
          <w:lang w:eastAsia="zh-CN"/>
        </w:rPr>
        <w:t>）。若为失信企业，将取消成交资格。</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供应商不得存在下列情形之一：</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bookmarkStart w:id="72" w:name="_Toc29818_WPSOffice_Level3"/>
      <w:bookmarkStart w:id="73" w:name="_Toc17687_WPSOffice_Level3"/>
      <w:r>
        <w:rPr>
          <w:rFonts w:hint="default" w:ascii="Times New Roman" w:hAnsi="Times New Roman" w:eastAsia="宋体" w:cs="Times New Roman"/>
          <w:sz w:val="24"/>
        </w:rPr>
        <w:t>①与采购人或采购代理机构存在隶属关系或者其他利害关系；</w:t>
      </w:r>
      <w:bookmarkEnd w:id="72"/>
      <w:bookmarkEnd w:id="73"/>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②供应商或者其法定代表人、董事、监事、高级管理人员因经营活动中的违法行为受到行政处罚，但警告和罚款额在三万元以下的行政处罚除外；</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③供应商或者其法定代表人、董事、监事、高级管理人员因经营活动中的违法行为受到刑事处罚。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投标费用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本项目不收取任何费用。供应商应自行承担所有参与投标的相关费用，不论投标的结果如何，采购人无义务和责任承担这些费用。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联合体投标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本次招标不接受联合体投标。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采购进口产品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本采购项目拒绝进口产品参加投标。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8</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现场踏勘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本采购项目不组织现场踏勘。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4" w:name="_Toc20858"/>
      <w:r>
        <w:rPr>
          <w:rFonts w:hint="default" w:ascii="Times New Roman" w:hAnsi="Times New Roman" w:eastAsia="宋体" w:cs="Times New Roman"/>
          <w:sz w:val="24"/>
        </w:rPr>
        <w:t>9</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质疑</w:t>
      </w:r>
      <w:bookmarkEnd w:id="74"/>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认为谈判文件、招标过程和成交结果使自己的合法权益受到损害的，可以在知道或者应知其权益受到损害之日起七个工作日内，以书面形式（纸质原件）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受理质疑部门：采购单位。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供应商提出质疑应当提交质疑函和必要的证明材料（如材料中有外文资料应同时附上中文译本）。质疑函应当包括下列内容：</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1）供应商的姓名或者名称、地址、邮编、联系人及联系电话；</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2）质疑项目的名称、编号；</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3）具体、明确的质疑事项和与质疑事项相关的请求；</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4）事实依据；</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5）必要的法律依据；</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Times New Roman" w:hAnsi="Times New Roman" w:eastAsia="宋体" w:cs="Times New Roman"/>
          <w:sz w:val="24"/>
        </w:rPr>
      </w:pPr>
      <w:r>
        <w:rPr>
          <w:rFonts w:hint="default" w:ascii="Times New Roman" w:hAnsi="Times New Roman" w:eastAsia="宋体" w:cs="Times New Roman"/>
          <w:sz w:val="24"/>
        </w:rPr>
        <w:t>6）提出质疑的日期。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采购人、采购代理机构将在收到供应商的书面质疑后七个工作日内作出答复，并以书面形式通知质疑供应商和其他有关供应商，但答复的内容不涉及商业秘密。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bookmarkStart w:id="75" w:name="_Toc18210"/>
      <w:r>
        <w:rPr>
          <w:rFonts w:hint="default" w:ascii="Times New Roman" w:hAnsi="Times New Roman" w:eastAsia="宋体" w:cs="Times New Roman"/>
          <w:sz w:val="24"/>
        </w:rPr>
        <w:t>10</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投诉</w:t>
      </w:r>
      <w:bookmarkEnd w:id="75"/>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rPr>
      </w:pPr>
      <w:r>
        <w:rPr>
          <w:rFonts w:hint="default" w:ascii="Times New Roman" w:hAnsi="Times New Roman" w:eastAsia="宋体" w:cs="Times New Roman"/>
          <w:sz w:val="24"/>
        </w:rPr>
        <w:t>投诉必须首先经过质疑程序。质疑供应商对采购人、采购代理机构的答复不满意，或者采购人、采购代理机构未在规定的时间内做出答复的，可以在答复期满后十五个工作日内书面向政府采购管理处提起投诉。</w:t>
      </w:r>
    </w:p>
    <w:p>
      <w:pPr>
        <w:pStyle w:val="3"/>
        <w:bidi w:val="0"/>
        <w:rPr>
          <w:rFonts w:hint="default" w:ascii="Times New Roman" w:hAnsi="Times New Roman" w:eastAsia="宋体" w:cs="Times New Roman"/>
          <w:lang w:val="en-US" w:eastAsia="zh-CN"/>
        </w:rPr>
      </w:pPr>
      <w:bookmarkStart w:id="76" w:name="_Toc29818_WPSOffice_Level1"/>
      <w:bookmarkStart w:id="77" w:name="_Toc20599_WPSOffice_Level2"/>
      <w:bookmarkStart w:id="78" w:name="_Toc5468"/>
      <w:bookmarkStart w:id="79" w:name="_Toc60996678"/>
      <w:bookmarkStart w:id="80" w:name="_Toc4052"/>
      <w:bookmarkStart w:id="81" w:name="_Toc17687_WPSOffice_Level1"/>
      <w:bookmarkStart w:id="82" w:name="_二、招标文件"/>
      <w:r>
        <w:rPr>
          <w:rFonts w:hint="default" w:ascii="Times New Roman" w:hAnsi="Times New Roman" w:eastAsia="宋体" w:cs="Times New Roman"/>
          <w:lang w:val="en-US" w:eastAsia="zh-CN"/>
        </w:rPr>
        <w:t>2.2 谈判文件</w:t>
      </w:r>
      <w:bookmarkEnd w:id="76"/>
      <w:bookmarkEnd w:id="77"/>
      <w:bookmarkEnd w:id="78"/>
      <w:bookmarkEnd w:id="79"/>
      <w:bookmarkEnd w:id="80"/>
      <w:bookmarkEnd w:id="81"/>
    </w:p>
    <w:bookmarkEnd w:id="82"/>
    <w:p>
      <w:pPr>
        <w:spacing w:line="460" w:lineRule="exact"/>
        <w:ind w:firstLine="480" w:firstLineChars="200"/>
        <w:rPr>
          <w:rFonts w:hint="default" w:ascii="Times New Roman" w:hAnsi="Times New Roman" w:eastAsia="宋体" w:cs="Times New Roman"/>
          <w:sz w:val="24"/>
          <w:szCs w:val="24"/>
        </w:rPr>
      </w:pPr>
      <w:bookmarkStart w:id="83" w:name="_Toc19852"/>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谈判文件构成</w:t>
      </w:r>
      <w:bookmarkEnd w:id="83"/>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要求提供的货物、采购过程及合同条款在谈判文件中均有说明，谈判文件共</w:t>
      </w:r>
      <w:r>
        <w:rPr>
          <w:rFonts w:hint="eastAsia" w:ascii="Times New Roman" w:hAnsi="Times New Roman" w:eastAsia="宋体" w:cs="Times New Roman"/>
          <w:sz w:val="24"/>
          <w:szCs w:val="24"/>
          <w:lang w:val="en-US" w:eastAsia="zh-CN"/>
        </w:rPr>
        <w:t>六</w:t>
      </w:r>
      <w:r>
        <w:rPr>
          <w:rFonts w:hint="default" w:ascii="Times New Roman" w:hAnsi="Times New Roman" w:eastAsia="宋体" w:cs="Times New Roman"/>
          <w:sz w:val="24"/>
          <w:szCs w:val="24"/>
        </w:rPr>
        <w:t>章，各章的内容如下：</w:t>
      </w:r>
    </w:p>
    <w:p>
      <w:pPr>
        <w:spacing w:line="460" w:lineRule="exact"/>
        <w:ind w:firstLine="480" w:firstLineChars="200"/>
        <w:rPr>
          <w:rFonts w:hint="default" w:ascii="Times New Roman" w:hAnsi="Times New Roman" w:eastAsia="宋体" w:cs="Times New Roman"/>
          <w:sz w:val="24"/>
          <w:szCs w:val="24"/>
        </w:rPr>
      </w:pPr>
      <w:bookmarkStart w:id="84" w:name="_Toc20599_WPSOffice_Level1"/>
      <w:bookmarkStart w:id="85" w:name="_Toc19285_WPSOffice_Level2"/>
      <w:bookmarkStart w:id="86" w:name="_Toc17346_WPSOffice_Level2"/>
      <w:r>
        <w:rPr>
          <w:rFonts w:hint="default" w:ascii="Times New Roman" w:hAnsi="Times New Roman" w:eastAsia="宋体" w:cs="Times New Roman"/>
          <w:sz w:val="24"/>
          <w:szCs w:val="24"/>
        </w:rPr>
        <w:t>第一章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竞争性谈判公告</w:t>
      </w:r>
      <w:bookmarkEnd w:id="84"/>
      <w:bookmarkEnd w:id="85"/>
      <w:bookmarkEnd w:id="86"/>
    </w:p>
    <w:p>
      <w:pPr>
        <w:spacing w:line="460" w:lineRule="exact"/>
        <w:ind w:firstLine="480" w:firstLineChars="200"/>
        <w:rPr>
          <w:rFonts w:hint="default" w:ascii="Times New Roman" w:hAnsi="Times New Roman" w:eastAsia="宋体" w:cs="Times New Roman"/>
          <w:sz w:val="24"/>
          <w:szCs w:val="24"/>
        </w:rPr>
      </w:pPr>
      <w:bookmarkStart w:id="87" w:name="_Toc23365_WPSOffice_Level2"/>
      <w:bookmarkStart w:id="88" w:name="_Toc26127_WPSOffice_Level1"/>
      <w:bookmarkStart w:id="89" w:name="_Toc16744_WPSOffice_Level2"/>
      <w:r>
        <w:rPr>
          <w:rFonts w:hint="default" w:ascii="Times New Roman" w:hAnsi="Times New Roman" w:eastAsia="宋体" w:cs="Times New Roman"/>
          <w:sz w:val="24"/>
          <w:szCs w:val="24"/>
        </w:rPr>
        <w:t>第二章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供应商须知</w:t>
      </w:r>
      <w:bookmarkEnd w:id="87"/>
      <w:bookmarkEnd w:id="88"/>
      <w:bookmarkEnd w:id="89"/>
    </w:p>
    <w:p>
      <w:pPr>
        <w:spacing w:line="460" w:lineRule="exact"/>
        <w:ind w:firstLine="480" w:firstLineChars="200"/>
        <w:rPr>
          <w:rFonts w:hint="default" w:ascii="Times New Roman" w:hAnsi="Times New Roman" w:eastAsia="宋体" w:cs="Times New Roman"/>
          <w:sz w:val="24"/>
          <w:szCs w:val="24"/>
        </w:rPr>
      </w:pPr>
      <w:bookmarkStart w:id="90" w:name="_Toc27417_WPSOffice_Level2"/>
      <w:bookmarkStart w:id="91" w:name="_Toc25217_WPSOffice_Level1"/>
      <w:bookmarkStart w:id="92" w:name="_Toc12853_WPSOffice_Level2"/>
      <w:r>
        <w:rPr>
          <w:rFonts w:hint="default" w:ascii="Times New Roman" w:hAnsi="Times New Roman" w:eastAsia="宋体" w:cs="Times New Roman"/>
          <w:sz w:val="24"/>
          <w:szCs w:val="24"/>
        </w:rPr>
        <w:t>第三章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合同书样式</w:t>
      </w:r>
      <w:bookmarkEnd w:id="90"/>
      <w:bookmarkEnd w:id="91"/>
      <w:bookmarkEnd w:id="92"/>
    </w:p>
    <w:p>
      <w:pPr>
        <w:spacing w:line="460" w:lineRule="exact"/>
        <w:ind w:firstLine="480" w:firstLineChars="200"/>
        <w:rPr>
          <w:rFonts w:hint="default" w:ascii="Times New Roman" w:hAnsi="Times New Roman" w:eastAsia="宋体" w:cs="Times New Roman"/>
          <w:sz w:val="24"/>
          <w:szCs w:val="24"/>
        </w:rPr>
      </w:pPr>
      <w:bookmarkStart w:id="93" w:name="_Toc23738_WPSOffice_Level2"/>
      <w:bookmarkStart w:id="94" w:name="_Toc19055_WPSOffice_Level2"/>
      <w:bookmarkStart w:id="95" w:name="_Toc12208_WPSOffice_Level1"/>
      <w:r>
        <w:rPr>
          <w:rFonts w:hint="default" w:ascii="Times New Roman" w:hAnsi="Times New Roman" w:eastAsia="宋体" w:cs="Times New Roman"/>
          <w:sz w:val="24"/>
          <w:szCs w:val="24"/>
        </w:rPr>
        <w:t>第四章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响应文件格式</w:t>
      </w:r>
      <w:bookmarkEnd w:id="93"/>
      <w:bookmarkEnd w:id="94"/>
      <w:bookmarkEnd w:id="95"/>
    </w:p>
    <w:p>
      <w:pPr>
        <w:spacing w:line="460" w:lineRule="exact"/>
        <w:ind w:firstLine="480" w:firstLineChars="200"/>
        <w:rPr>
          <w:rFonts w:hint="default" w:ascii="Times New Roman" w:hAnsi="Times New Roman" w:eastAsia="宋体" w:cs="Times New Roman"/>
          <w:sz w:val="24"/>
          <w:szCs w:val="24"/>
          <w:lang w:eastAsia="zh-CN"/>
        </w:rPr>
      </w:pPr>
      <w:bookmarkStart w:id="96" w:name="_Toc22224_WPSOffice_Level2"/>
      <w:bookmarkStart w:id="97" w:name="_Toc30699_WPSOffice_Level2"/>
      <w:bookmarkStart w:id="98" w:name="_Toc20995_WPSOffice_Level1"/>
      <w:r>
        <w:rPr>
          <w:rFonts w:hint="default" w:ascii="Times New Roman" w:hAnsi="Times New Roman" w:eastAsia="宋体" w:cs="Times New Roman"/>
          <w:sz w:val="24"/>
          <w:szCs w:val="24"/>
        </w:rPr>
        <w:t>第五章</w:t>
      </w:r>
      <w:r>
        <w:rPr>
          <w:rFonts w:hint="default" w:ascii="Times New Roman" w:hAnsi="Times New Roman" w:eastAsia="宋体" w:cs="Times New Roman"/>
          <w:sz w:val="24"/>
          <w:szCs w:val="24"/>
          <w:lang w:val="en-US" w:eastAsia="zh-CN"/>
        </w:rPr>
        <w:t xml:space="preserve"> </w:t>
      </w:r>
      <w:bookmarkEnd w:id="96"/>
      <w:bookmarkEnd w:id="97"/>
      <w:bookmarkEnd w:id="98"/>
      <w:r>
        <w:rPr>
          <w:rFonts w:hint="default" w:ascii="Times New Roman" w:hAnsi="Times New Roman" w:eastAsia="宋体" w:cs="Times New Roman"/>
          <w:sz w:val="24"/>
          <w:szCs w:val="24"/>
          <w:lang w:eastAsia="zh-CN"/>
        </w:rPr>
        <w:t>采购需求</w:t>
      </w:r>
    </w:p>
    <w:p>
      <w:pPr>
        <w:spacing w:line="460" w:lineRule="exact"/>
        <w:ind w:firstLine="480" w:firstLineChars="200"/>
        <w:rPr>
          <w:rFonts w:hint="default" w:ascii="Times New Roman" w:hAnsi="Times New Roman" w:eastAsia="宋体" w:cs="Times New Roman"/>
          <w:sz w:val="24"/>
          <w:szCs w:val="24"/>
        </w:rPr>
      </w:pPr>
      <w:bookmarkStart w:id="99" w:name="_Toc6428_WPSOffice_Level1"/>
      <w:bookmarkStart w:id="100" w:name="_Toc7113_WPSOffice_Level2"/>
      <w:bookmarkStart w:id="101" w:name="_Toc13234_WPSOffice_Level2"/>
      <w:r>
        <w:rPr>
          <w:rFonts w:hint="default" w:ascii="Times New Roman" w:hAnsi="Times New Roman" w:eastAsia="宋体" w:cs="Times New Roman"/>
          <w:sz w:val="24"/>
          <w:szCs w:val="24"/>
        </w:rPr>
        <w:t>第六章</w:t>
      </w:r>
      <w:bookmarkEnd w:id="99"/>
      <w:bookmarkEnd w:id="100"/>
      <w:bookmarkEnd w:id="101"/>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评审办法</w:t>
      </w:r>
    </w:p>
    <w:p>
      <w:pPr>
        <w:spacing w:line="460" w:lineRule="exact"/>
        <w:ind w:firstLine="480" w:firstLineChars="200"/>
        <w:rPr>
          <w:rFonts w:hint="default" w:ascii="Times New Roman" w:hAnsi="Times New Roman" w:eastAsia="宋体" w:cs="Times New Roman"/>
          <w:sz w:val="24"/>
          <w:szCs w:val="24"/>
        </w:rPr>
      </w:pPr>
      <w:bookmarkStart w:id="102" w:name="_Toc27416"/>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谈判文件的澄清</w:t>
      </w:r>
      <w:bookmarkEnd w:id="102"/>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供应商应认真审核第五章“</w:t>
      </w:r>
      <w:r>
        <w:rPr>
          <w:rFonts w:hint="eastAsia" w:ascii="Times New Roman" w:hAnsi="Times New Roman" w:eastAsia="宋体" w:cs="Times New Roman"/>
          <w:sz w:val="24"/>
          <w:szCs w:val="24"/>
          <w:lang w:eastAsia="zh-CN"/>
        </w:rPr>
        <w:t>采购需求</w:t>
      </w:r>
      <w:r>
        <w:rPr>
          <w:rFonts w:hint="default" w:ascii="Times New Roman" w:hAnsi="Times New Roman" w:eastAsia="宋体" w:cs="Times New Roman"/>
          <w:sz w:val="24"/>
          <w:szCs w:val="24"/>
        </w:rPr>
        <w:t>”中的要求，如发现</w:t>
      </w:r>
      <w:r>
        <w:rPr>
          <w:rFonts w:hint="eastAsia" w:ascii="Times New Roman" w:hAnsi="Times New Roman" w:eastAsia="宋体" w:cs="Times New Roman"/>
          <w:sz w:val="24"/>
          <w:szCs w:val="24"/>
          <w:lang w:eastAsia="zh-CN"/>
        </w:rPr>
        <w:t>要求</w:t>
      </w:r>
      <w:r>
        <w:rPr>
          <w:rFonts w:hint="default" w:ascii="Times New Roman" w:hAnsi="Times New Roman" w:eastAsia="宋体" w:cs="Times New Roman"/>
          <w:sz w:val="24"/>
          <w:szCs w:val="24"/>
        </w:rPr>
        <w:t>有误或要求不合理的，供应商必须在“供应商须知前附表”规定截止时间前以书面形式（加盖公章）要求采购单位澄清，截止时间后送达的澄清要求概不接受，由此产生的后果由供应商自行负责。</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采购单位将以书面或网上发布公告形式（发布媒体详见</w:t>
      </w:r>
      <w:r>
        <w:rPr>
          <w:rFonts w:hint="eastAsia"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公告）答复所有报名的供应商（答复中不包含问题的来源）要求澄清的问题，其他澄清方式无效。</w:t>
      </w:r>
    </w:p>
    <w:p>
      <w:pPr>
        <w:spacing w:line="460" w:lineRule="exact"/>
        <w:ind w:firstLine="480" w:firstLineChars="200"/>
        <w:rPr>
          <w:rFonts w:hint="default" w:ascii="Times New Roman" w:hAnsi="Times New Roman" w:eastAsia="宋体" w:cs="Times New Roman"/>
          <w:sz w:val="24"/>
          <w:szCs w:val="24"/>
        </w:rPr>
      </w:pPr>
      <w:bookmarkStart w:id="103" w:name="_Toc29711"/>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谈判文件的修改</w:t>
      </w:r>
      <w:bookmarkEnd w:id="103"/>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采购单位对已发出的谈判文件进行必要澄清或者修改的，于谈判文件要求提交响应文件截止时间3个工作日前，在指定采购信息发布媒体（发布媒体详见</w:t>
      </w:r>
      <w:r>
        <w:rPr>
          <w:rFonts w:hint="eastAsia"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公告）上发布澄清公告。该澄清或者修改的内容为谈判文件的组成部分。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澄清或者修改的内容可能影响响应文件编制的，采购单位于提交首次响应文件截止之日3个工作日前，以书面形式通知所有获取谈判文件的潜在供应商；不足3个工作日的，顺延提交响应文件的截止时间。</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采购单位对谈判文件中的采购需求、评审办法、评审项目等重要评审内容做出变更，将同时发布补遗文件进行说明以保证各供应商都能重新下载并用于编制电子响应文件。</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供应商在收到采购单位书面答疑和澄清后，请自行登录</w:t>
      </w:r>
      <w:r>
        <w:rPr>
          <w:rFonts w:hint="default" w:ascii="Times New Roman" w:hAnsi="Times New Roman" w:eastAsia="宋体" w:cs="Times New Roman"/>
          <w:sz w:val="24"/>
          <w:szCs w:val="24"/>
          <w:lang w:val="zh-CN"/>
        </w:rPr>
        <w:t>楚雄医药高等专科学校</w:t>
      </w:r>
      <w:r>
        <w:rPr>
          <w:rFonts w:hint="eastAsia" w:ascii="Times New Roman" w:hAnsi="Times New Roman" w:eastAsia="宋体" w:cs="Times New Roman"/>
          <w:sz w:val="24"/>
          <w:szCs w:val="24"/>
          <w:lang w:val="en-US" w:eastAsia="zh-CN"/>
        </w:rPr>
        <w:t>保卫处</w:t>
      </w:r>
      <w:r>
        <w:rPr>
          <w:rFonts w:hint="default" w:ascii="Times New Roman" w:hAnsi="Times New Roman" w:eastAsia="宋体" w:cs="Times New Roman"/>
          <w:sz w:val="24"/>
          <w:szCs w:val="24"/>
          <w:lang w:val="zh-CN"/>
        </w:rPr>
        <w:t>招标</w:t>
      </w:r>
      <w:r>
        <w:rPr>
          <w:rFonts w:hint="eastAsia" w:ascii="Times New Roman" w:hAnsi="Times New Roman" w:eastAsia="宋体" w:cs="Times New Roman"/>
          <w:sz w:val="24"/>
          <w:szCs w:val="24"/>
          <w:lang w:val="en-US" w:eastAsia="zh-CN"/>
        </w:rPr>
        <w:t>信息</w:t>
      </w:r>
      <w:r>
        <w:rPr>
          <w:rFonts w:hint="default" w:ascii="Times New Roman" w:hAnsi="Times New Roman" w:eastAsia="宋体" w:cs="Times New Roman"/>
          <w:sz w:val="24"/>
          <w:szCs w:val="24"/>
          <w:lang w:val="zh-CN"/>
        </w:rPr>
        <w:t>栏</w:t>
      </w:r>
      <w:r>
        <w:rPr>
          <w:rFonts w:hint="default" w:ascii="Times New Roman" w:hAnsi="Times New Roman" w:eastAsia="宋体" w:cs="Times New Roman"/>
          <w:sz w:val="24"/>
          <w:szCs w:val="24"/>
        </w:rPr>
        <w:t>收取修改内容。供应商应在截标时间前随时查看指定采购信息发布媒体（发布媒体详见</w:t>
      </w:r>
      <w:r>
        <w:rPr>
          <w:rFonts w:hint="eastAsia"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公告）中有关该项目谈判文件的答疑、补遗内容。</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谈判文件澄清、谈判文件修改文件内容均以网上发布的文件为准，当谈判文件、谈判文件澄清、谈判文件修改文件内容前后相互矛盾时，以最后发出的为准。</w:t>
      </w:r>
    </w:p>
    <w:p>
      <w:pPr>
        <w:widowControl w:val="0"/>
        <w:tabs>
          <w:tab w:val="center" w:pos="4422"/>
        </w:tabs>
        <w:adjustRightInd w:val="0"/>
        <w:snapToGrid w:val="0"/>
        <w:spacing w:before="120" w:beforeLines="50" w:line="360" w:lineRule="auto"/>
        <w:ind w:firstLine="352" w:firstLineChars="147"/>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4、偏离</w:t>
      </w:r>
      <w:r>
        <w:rPr>
          <w:rFonts w:hint="default" w:ascii="Times New Roman" w:hAnsi="Times New Roman" w:eastAsia="宋体" w:cs="Times New Roman"/>
          <w:kern w:val="2"/>
          <w:sz w:val="24"/>
          <w:szCs w:val="24"/>
          <w:lang w:val="en-US" w:eastAsia="zh-CN" w:bidi="ar-SA"/>
        </w:rPr>
        <w:tab/>
      </w:r>
    </w:p>
    <w:p>
      <w:pPr>
        <w:widowControl/>
        <w:adjustRightInd w:val="0"/>
        <w:snapToGrid w:val="0"/>
        <w:spacing w:before="0" w:beforeAutospacing="0" w:after="0" w:afterAutospacing="0" w:line="360" w:lineRule="auto"/>
        <w:ind w:right="97" w:rightChars="46"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（1）本条所称偏离为对谈判文件的偏离，即超过、不满足、或不响应谈判文件的要求。偏离分为对谈判文件的实质性要求条款偏离和对谈判文件的一般商务和技术条款（参数）偏离；允许正偏离。</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除法律、法规和规章规定外，谈判文件中用“拒绝”、“不接受”、“无效”、“不得”等文字规定或标注“★”符号的条款为实质性要求条款（即重要条款），对其中任何一条的偏离，在评审时将其视为无效响应。未用上述文字规定或符号标注的条款为非实质性要求条款(即一般条款)。</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技术规格、参数及要求中的一般商务和技术条款（参数），在超出允许偏离的条款数（最高项数）时，在评审时将其视为无效响应。</w:t>
      </w:r>
    </w:p>
    <w:p>
      <w:pPr>
        <w:tabs>
          <w:tab w:val="left" w:pos="0"/>
        </w:tabs>
        <w:adjustRightInd w:val="0"/>
        <w:snapToGrid w:val="0"/>
        <w:spacing w:before="120"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本章</w:t>
      </w:r>
      <w:r>
        <w:rPr>
          <w:rFonts w:hint="default" w:ascii="Times New Roman" w:hAnsi="Times New Roman" w:eastAsia="宋体" w:cs="Times New Roman"/>
          <w:sz w:val="24"/>
          <w:szCs w:val="24"/>
          <w:lang w:eastAsia="zh-CN"/>
        </w:rPr>
        <w:t>上一条</w:t>
      </w:r>
      <w:r>
        <w:rPr>
          <w:rFonts w:hint="default" w:ascii="Times New Roman" w:hAnsi="Times New Roman" w:eastAsia="宋体" w:cs="Times New Roman"/>
          <w:sz w:val="24"/>
          <w:szCs w:val="24"/>
          <w:lang w:val="zh-CN"/>
        </w:rPr>
        <w:t>款</w:t>
      </w:r>
      <w:r>
        <w:rPr>
          <w:rFonts w:hint="default" w:ascii="Times New Roman" w:hAnsi="Times New Roman" w:eastAsia="宋体" w:cs="Times New Roman"/>
          <w:sz w:val="24"/>
          <w:szCs w:val="24"/>
        </w:rPr>
        <w:t>所称条款数最高项数为</w:t>
      </w:r>
      <w:r>
        <w:rPr>
          <w:rFonts w:hint="default" w:ascii="Times New Roman" w:hAnsi="Times New Roman" w:eastAsia="宋体" w:cs="Times New Roman"/>
          <w:sz w:val="24"/>
          <w:szCs w:val="24"/>
          <w:u w:val="single"/>
        </w:rPr>
        <w:t xml:space="preserve"> 0 </w:t>
      </w:r>
      <w:r>
        <w:rPr>
          <w:rFonts w:hint="default" w:ascii="Times New Roman" w:hAnsi="Times New Roman" w:eastAsia="宋体" w:cs="Times New Roman"/>
          <w:sz w:val="24"/>
          <w:szCs w:val="24"/>
        </w:rPr>
        <w:t>项。</w:t>
      </w:r>
    </w:p>
    <w:p>
      <w:pPr>
        <w:pStyle w:val="3"/>
        <w:bidi w:val="0"/>
        <w:rPr>
          <w:rFonts w:hint="default" w:ascii="Times New Roman" w:hAnsi="Times New Roman" w:eastAsia="宋体" w:cs="Times New Roman"/>
          <w:lang w:val="en-US" w:eastAsia="zh-CN"/>
        </w:rPr>
      </w:pPr>
      <w:bookmarkStart w:id="104" w:name="_Toc22665"/>
      <w:bookmarkStart w:id="105" w:name="_Toc60996679"/>
      <w:bookmarkStart w:id="106" w:name="_Toc30726"/>
      <w:bookmarkStart w:id="107" w:name="_Toc22352_WPSOffice_Level1"/>
      <w:bookmarkStart w:id="108" w:name="_Toc26127_WPSOffice_Level2"/>
      <w:bookmarkStart w:id="109" w:name="_Toc23972_WPSOffice_Level1"/>
      <w:bookmarkStart w:id="110" w:name="_三、投标文件的编制"/>
      <w:r>
        <w:rPr>
          <w:rFonts w:hint="default" w:ascii="Times New Roman" w:hAnsi="Times New Roman" w:eastAsia="宋体" w:cs="Times New Roman"/>
          <w:lang w:val="en-US" w:eastAsia="zh-CN"/>
        </w:rPr>
        <w:t>2.3 响应文件的编制</w:t>
      </w:r>
      <w:bookmarkEnd w:id="104"/>
      <w:bookmarkEnd w:id="105"/>
      <w:bookmarkEnd w:id="106"/>
      <w:bookmarkEnd w:id="107"/>
      <w:bookmarkEnd w:id="108"/>
      <w:bookmarkEnd w:id="109"/>
    </w:p>
    <w:bookmarkEnd w:id="110"/>
    <w:p>
      <w:pPr>
        <w:spacing w:line="460" w:lineRule="exact"/>
        <w:ind w:firstLine="480" w:firstLineChars="200"/>
        <w:rPr>
          <w:rFonts w:hint="default" w:ascii="Times New Roman" w:hAnsi="Times New Roman" w:eastAsia="宋体" w:cs="Times New Roman"/>
          <w:sz w:val="24"/>
        </w:rPr>
      </w:pPr>
      <w:bookmarkStart w:id="111" w:name="_Toc609"/>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响应文件构成</w:t>
      </w:r>
      <w:bookmarkEnd w:id="111"/>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供应商同时投多个包（若分包时）的，响应文件应按包分别编制，按供应商应按第四章“响应文件格式”要求的格式完整地填写。</w:t>
      </w:r>
    </w:p>
    <w:p>
      <w:pPr>
        <w:spacing w:line="460" w:lineRule="exact"/>
        <w:ind w:firstLine="480" w:firstLineChars="200"/>
        <w:rPr>
          <w:rFonts w:hint="default" w:ascii="Times New Roman" w:hAnsi="Times New Roman" w:eastAsia="宋体" w:cs="Times New Roman"/>
          <w:sz w:val="24"/>
        </w:rPr>
      </w:pPr>
      <w:bookmarkStart w:id="112" w:name="_Toc8444"/>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投标报价</w:t>
      </w:r>
      <w:bookmarkEnd w:id="112"/>
    </w:p>
    <w:p>
      <w:pPr>
        <w:spacing w:line="460" w:lineRule="exact"/>
        <w:ind w:firstLine="480" w:firstLineChars="200"/>
        <w:rPr>
          <w:rFonts w:hint="default" w:ascii="Times New Roman" w:hAnsi="Times New Roman" w:eastAsia="宋体" w:cs="Times New Roman"/>
          <w:sz w:val="24"/>
        </w:rPr>
      </w:pPr>
      <w:bookmarkStart w:id="113" w:name="_Toc32040"/>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供应商应按谈判文件规定的要求和范围，以人民币进行报价。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除规定允许提交备选方案外，供应商对每种货物及服务只允许有一个报价，不接受选择性报价，否则，在评审时将其视为无效响应报价。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供应商的报价不得超过采购项目预算。</w:t>
      </w:r>
    </w:p>
    <w:bookmarkEnd w:id="113"/>
    <w:p>
      <w:pPr>
        <w:spacing w:line="460" w:lineRule="exact"/>
        <w:ind w:firstLine="480" w:firstLineChars="200"/>
        <w:rPr>
          <w:rFonts w:hint="default" w:ascii="Times New Roman" w:hAnsi="Times New Roman" w:eastAsia="宋体" w:cs="Times New Roman"/>
          <w:sz w:val="24"/>
        </w:rPr>
      </w:pPr>
      <w:bookmarkStart w:id="114" w:name="_Toc17723"/>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投标有效期</w:t>
      </w:r>
      <w:bookmarkEnd w:id="114"/>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响应文件有效期为60日历天，在此期间响应文件对供应商具有法律约束力，响应文件有效期从规定的递交响应文件截止时间起计算。响应文件有效期不足的将被视为无效响应。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因特殊情况需要延长投标有效期的，采购人以书面形式通知所有供应商延长投标有效期。供应商同意延长的，应相应延长其谈判保证金的有效期，但不得要求或被允许修改或撤销其响应文件；供应商拒绝延长的，其投标失效，但供应商有权收回其谈判保证金。</w:t>
      </w:r>
    </w:p>
    <w:p>
      <w:pPr>
        <w:spacing w:line="460" w:lineRule="exact"/>
        <w:ind w:firstLine="480" w:firstLineChars="200"/>
        <w:rPr>
          <w:rFonts w:hint="default" w:ascii="Times New Roman" w:hAnsi="Times New Roman" w:eastAsia="宋体" w:cs="Times New Roman"/>
          <w:sz w:val="24"/>
        </w:rPr>
      </w:pPr>
      <w:bookmarkStart w:id="115" w:name="_Toc18796"/>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响应文件的签署要求</w:t>
      </w:r>
      <w:bookmarkEnd w:id="115"/>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响应文件的签章和签名要求：按照响应文件格式，响应文件需要企业、法定代表人签章及签名。</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因复印、扫描、拍摄模糊，字迹潦草，表达不清，未按要求填写而导致非唯一理解，造成未实质性响应谈判文件的响应文件将会被认定为无效的投标。</w:t>
      </w:r>
    </w:p>
    <w:p>
      <w:pPr>
        <w:spacing w:line="460" w:lineRule="exact"/>
        <w:ind w:firstLine="480" w:firstLineChars="200"/>
        <w:rPr>
          <w:rFonts w:hint="default" w:ascii="Times New Roman" w:hAnsi="Times New Roman" w:eastAsia="宋体" w:cs="Times New Roman"/>
          <w:sz w:val="24"/>
        </w:rPr>
      </w:pPr>
      <w:bookmarkStart w:id="116" w:name="_Toc4359"/>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谈判保证金</w:t>
      </w:r>
      <w:bookmarkEnd w:id="116"/>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谈判保证金为人民币，供应商应在递交响应文件截止时间以前按“供应商须知前附表”规定的方式及金额交纳谈判保证金，并在投标有效期内保持有效。</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未成交供应商的保证金，未成交供应商的保证金在评标结束后当场退还。成交供应商的保证金，自采购合同签订完毕并按规定办理合同归档手续后5个工作日内，无息退还至供应商。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有下列情形之一的，谈判保证金不予退还：</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1）供应商在提交响应文件截止时间后撤回响应文件的；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2）供应商在响应文件中提供虚假材料的；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3）除因不可抗力或谈判文件认可的情形以外，成交供应商不与采购人签订合同的；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4）供应商与采购人、其他供应商或者采购代理机构恶意串通的；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5）谈判文件规定的其他情形。</w:t>
      </w:r>
    </w:p>
    <w:p>
      <w:pPr>
        <w:pStyle w:val="3"/>
        <w:bidi w:val="0"/>
        <w:rPr>
          <w:rFonts w:hint="default" w:ascii="Times New Roman" w:hAnsi="Times New Roman" w:eastAsia="宋体" w:cs="Times New Roman"/>
          <w:lang w:val="en-US" w:eastAsia="zh-CN"/>
        </w:rPr>
      </w:pPr>
      <w:bookmarkStart w:id="117" w:name="_Toc60996680"/>
      <w:bookmarkStart w:id="118" w:name="_Toc16736"/>
      <w:bookmarkStart w:id="119" w:name="_Toc19285_WPSOffice_Level1"/>
      <w:bookmarkStart w:id="120" w:name="_Toc25217_WPSOffice_Level2"/>
      <w:bookmarkStart w:id="121" w:name="_Toc17346_WPSOffice_Level1"/>
      <w:bookmarkStart w:id="122" w:name="_Toc25794"/>
      <w:bookmarkStart w:id="123" w:name="_四、投标文件的提交"/>
      <w:r>
        <w:rPr>
          <w:rFonts w:hint="default" w:ascii="Times New Roman" w:hAnsi="Times New Roman" w:eastAsia="宋体" w:cs="Times New Roman"/>
          <w:lang w:val="en-US" w:eastAsia="zh-CN"/>
        </w:rPr>
        <w:t>2.4 响应文件的提交</w:t>
      </w:r>
      <w:bookmarkEnd w:id="117"/>
      <w:bookmarkEnd w:id="118"/>
      <w:bookmarkEnd w:id="119"/>
      <w:bookmarkEnd w:id="120"/>
      <w:bookmarkEnd w:id="121"/>
      <w:bookmarkEnd w:id="122"/>
    </w:p>
    <w:bookmarkEnd w:id="123"/>
    <w:p>
      <w:pPr>
        <w:spacing w:line="460" w:lineRule="exact"/>
        <w:ind w:firstLine="480" w:firstLineChars="200"/>
        <w:rPr>
          <w:rFonts w:hint="default" w:ascii="Times New Roman" w:hAnsi="Times New Roman" w:eastAsia="宋体" w:cs="Times New Roman"/>
          <w:sz w:val="24"/>
        </w:rPr>
      </w:pPr>
      <w:bookmarkStart w:id="124" w:name="_Toc20426"/>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响应文件的密封与提交</w:t>
      </w:r>
      <w:bookmarkEnd w:id="124"/>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申请文件的装订要求：申请文件的正本与副本应分别装订成册，密封于一个包内，不得采用活页夹。申请文件应编制目录，并且逐页标注连续页码，否则，采购人对由于申请文件装订松散而造成的丢失或其他后果不承担任何责任。</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在申请文件密封袋上应：写明项目名称；注明下列识别标志：</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1）谈判项目编号；</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2）（项目名称）申请文件；</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3）供应商名称（盖章）；</w:t>
      </w:r>
      <w:bookmarkStart w:id="267" w:name="_GoBack"/>
      <w:bookmarkEnd w:id="267"/>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4）法定代表人或其委托代理人（签字）；</w:t>
      </w:r>
    </w:p>
    <w:p>
      <w:pPr>
        <w:spacing w:line="460" w:lineRule="exact"/>
        <w:ind w:firstLine="720" w:firstLineChars="3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5）202</w:t>
      </w: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年</w:t>
      </w: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rPr>
        <w:t>月</w:t>
      </w:r>
      <w:r>
        <w:rPr>
          <w:rFonts w:hint="eastAsia" w:ascii="Times New Roman" w:hAnsi="Times New Roman" w:eastAsia="宋体" w:cs="Times New Roman"/>
          <w:sz w:val="24"/>
          <w:highlight w:val="none"/>
          <w:lang w:val="en-US" w:eastAsia="zh-CN"/>
        </w:rPr>
        <w:t>11</w:t>
      </w:r>
      <w:r>
        <w:rPr>
          <w:rFonts w:hint="default" w:ascii="Times New Roman" w:hAnsi="Times New Roman" w:eastAsia="宋体" w:cs="Times New Roman"/>
          <w:sz w:val="24"/>
          <w:highlight w:val="none"/>
        </w:rPr>
        <w:t>日</w:t>
      </w:r>
      <w:r>
        <w:rPr>
          <w:rFonts w:hint="eastAsia" w:ascii="Times New Roman" w:hAnsi="Times New Roman" w:eastAsia="宋体" w:cs="Times New Roman"/>
          <w:sz w:val="24"/>
          <w:highlight w:val="none"/>
          <w:lang w:eastAsia="zh-CN"/>
        </w:rPr>
        <w:t>下</w:t>
      </w:r>
      <w:r>
        <w:rPr>
          <w:rFonts w:hint="default" w:ascii="Times New Roman" w:hAnsi="Times New Roman" w:eastAsia="宋体" w:cs="Times New Roman"/>
          <w:sz w:val="24"/>
          <w:highlight w:val="none"/>
        </w:rPr>
        <w:t>午</w:t>
      </w:r>
      <w:r>
        <w:rPr>
          <w:rFonts w:hint="eastAsia" w:ascii="Times New Roman" w:hAnsi="Times New Roman" w:eastAsia="宋体" w:cs="Times New Roman"/>
          <w:sz w:val="24"/>
          <w:highlight w:val="none"/>
          <w:lang w:val="en-US" w:eastAsia="zh-CN"/>
        </w:rPr>
        <w:t>14</w:t>
      </w:r>
      <w:r>
        <w:rPr>
          <w:rFonts w:hint="default" w:ascii="Times New Roman" w:hAnsi="Times New Roman" w:eastAsia="宋体" w:cs="Times New Roman"/>
          <w:sz w:val="24"/>
          <w:highlight w:val="none"/>
          <w:lang w:val="en-US" w:eastAsia="zh-CN"/>
        </w:rPr>
        <w:t>点</w:t>
      </w:r>
      <w:r>
        <w:rPr>
          <w:rFonts w:hint="default" w:ascii="Times New Roman" w:hAnsi="Times New Roman" w:eastAsia="宋体" w:cs="Times New Roman"/>
          <w:sz w:val="24"/>
          <w:highlight w:val="none"/>
        </w:rPr>
        <w:t>30</w:t>
      </w:r>
      <w:r>
        <w:rPr>
          <w:rFonts w:hint="default" w:ascii="Times New Roman" w:hAnsi="Times New Roman" w:eastAsia="宋体" w:cs="Times New Roman"/>
          <w:sz w:val="24"/>
          <w:highlight w:val="none"/>
          <w:lang w:eastAsia="zh-CN"/>
        </w:rPr>
        <w:t>分</w:t>
      </w:r>
      <w:r>
        <w:rPr>
          <w:rFonts w:hint="default" w:ascii="Times New Roman" w:hAnsi="Times New Roman" w:eastAsia="宋体" w:cs="Times New Roman"/>
          <w:sz w:val="24"/>
          <w:highlight w:val="none"/>
        </w:rPr>
        <w:t>竞争性谈判</w:t>
      </w:r>
      <w:r>
        <w:rPr>
          <w:rFonts w:hint="default" w:ascii="Times New Roman" w:hAnsi="Times New Roman" w:eastAsia="宋体" w:cs="Times New Roman"/>
          <w:sz w:val="24"/>
          <w:highlight w:val="none"/>
          <w:lang w:eastAsia="zh-CN"/>
        </w:rPr>
        <w:t>开始</w:t>
      </w:r>
      <w:r>
        <w:rPr>
          <w:rFonts w:hint="default" w:ascii="Times New Roman" w:hAnsi="Times New Roman" w:eastAsia="宋体" w:cs="Times New Roman"/>
          <w:sz w:val="24"/>
          <w:highlight w:val="none"/>
        </w:rPr>
        <w:t>，此时间以前不得开封。</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如果申请文件没有按本谈判须知</w:t>
      </w:r>
      <w:r>
        <w:rPr>
          <w:rFonts w:hint="default" w:ascii="Times New Roman" w:hAnsi="Times New Roman" w:eastAsia="宋体" w:cs="Times New Roman"/>
          <w:sz w:val="24"/>
          <w:lang w:eastAsia="zh-CN"/>
        </w:rPr>
        <w:t>有关条</w:t>
      </w:r>
      <w:r>
        <w:rPr>
          <w:rFonts w:hint="default" w:ascii="Times New Roman" w:hAnsi="Times New Roman" w:eastAsia="宋体" w:cs="Times New Roman"/>
          <w:sz w:val="24"/>
        </w:rPr>
        <w:t>款的规定装订和加写标记及密封，采购人将不承担申请文件提前开封的责任。对由此造成提前开封的申请文件将予以拒绝，并退还给供应商。</w:t>
      </w:r>
    </w:p>
    <w:p>
      <w:pPr>
        <w:spacing w:line="460" w:lineRule="exact"/>
        <w:ind w:firstLine="480" w:firstLineChars="200"/>
        <w:rPr>
          <w:rFonts w:hint="eastAsia" w:ascii="宋体" w:hAnsi="宋体" w:eastAsia="宋体" w:cs="宋体"/>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所有申请文件的外层密封的封口处应加盖密封章。</w:t>
      </w:r>
    </w:p>
    <w:p>
      <w:pPr>
        <w:pStyle w:val="3"/>
        <w:bidi w:val="0"/>
        <w:rPr>
          <w:rFonts w:hint="default" w:ascii="Times New Roman" w:hAnsi="Times New Roman" w:eastAsia="宋体" w:cs="Times New Roman"/>
          <w:lang w:val="en-US" w:eastAsia="zh-CN"/>
        </w:rPr>
      </w:pPr>
      <w:bookmarkStart w:id="125" w:name="_Toc69565538"/>
      <w:bookmarkStart w:id="126" w:name="_Toc17391"/>
      <w:bookmarkStart w:id="127" w:name="_Toc18313"/>
      <w:r>
        <w:rPr>
          <w:rFonts w:hint="default" w:ascii="Times New Roman" w:hAnsi="Times New Roman" w:eastAsia="宋体" w:cs="Times New Roman"/>
          <w:lang w:val="en-US" w:eastAsia="zh-CN"/>
        </w:rPr>
        <w:t>2.5 响应文件开启</w:t>
      </w:r>
      <w:bookmarkEnd w:id="125"/>
      <w:bookmarkEnd w:id="126"/>
      <w:bookmarkEnd w:id="127"/>
    </w:p>
    <w:p>
      <w:pPr>
        <w:widowControl w:val="0"/>
        <w:adjustRightInd w:val="0"/>
        <w:spacing w:line="440" w:lineRule="exact"/>
        <w:ind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1、开启</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采购人按本须知前附表所规定的时间和地点开始谈判，并邀请所有供应商参加，供应商法定代表人或授权代理人必须到谈判现场。</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谈判程序</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1）谈判会议由楚雄医药高等专科学校招标采购工作人员主持，所有供应商应准时参加。</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2）宣布谈判纪律</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3）宣布参会单位及代表</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4）采购人公布采购控制价</w:t>
      </w:r>
    </w:p>
    <w:p>
      <w:pPr>
        <w:adjustRightInd w:val="0"/>
        <w:spacing w:line="440" w:lineRule="exact"/>
        <w:ind w:firstLine="700" w:firstLineChars="292"/>
        <w:rPr>
          <w:rFonts w:hint="default" w:ascii="Times New Roman" w:hAnsi="Times New Roman" w:eastAsia="宋体" w:cs="Times New Roman"/>
          <w:sz w:val="24"/>
        </w:rPr>
      </w:pPr>
      <w:r>
        <w:rPr>
          <w:rFonts w:hint="default" w:ascii="Times New Roman" w:hAnsi="Times New Roman" w:eastAsia="宋体" w:cs="Times New Roman"/>
          <w:sz w:val="24"/>
        </w:rPr>
        <w:t>5）申请文件密封检查顺序：按照所有供应商的递交顺序对申请文件进行密封检查。</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采购人将在“供应商须知前附表”规定的时间和地点进行谈判，供应商的法定代表人或其委托代理人应参加谈判会，如供应商未出席谈判会由此产生的后果由供应商自行负责。</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谈判工作人员将做谈判记录，供应商对须签字确认。</w:t>
      </w:r>
    </w:p>
    <w:p>
      <w:pPr>
        <w:adjustRightInd w:val="0"/>
        <w:spacing w:line="440" w:lineRule="exact"/>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供应商对谈判有异议的，应当在谈判现场提出，采购人应当当场作出答复，并制作记录。</w:t>
      </w:r>
    </w:p>
    <w:p>
      <w:pPr>
        <w:pStyle w:val="3"/>
        <w:bidi w:val="0"/>
        <w:rPr>
          <w:rFonts w:hint="default" w:ascii="Times New Roman" w:hAnsi="Times New Roman" w:eastAsia="宋体" w:cs="Times New Roman"/>
        </w:rPr>
      </w:pPr>
      <w:bookmarkStart w:id="128" w:name="_Toc6512"/>
      <w:r>
        <w:rPr>
          <w:rFonts w:hint="default" w:ascii="Times New Roman" w:hAnsi="Times New Roman" w:eastAsia="宋体" w:cs="Times New Roman"/>
          <w:lang w:val="en-US" w:eastAsia="zh-CN"/>
        </w:rPr>
        <w:t xml:space="preserve">2.6 </w:t>
      </w:r>
      <w:r>
        <w:rPr>
          <w:rFonts w:hint="default" w:ascii="Times New Roman" w:hAnsi="Times New Roman" w:eastAsia="宋体" w:cs="Times New Roman"/>
        </w:rPr>
        <w:t>响应文件的评审与谈判</w:t>
      </w:r>
      <w:bookmarkEnd w:id="128"/>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谈判小组组建</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与集采机构将根据采购项目的特点依法组建谈判小组，其成员由评审专家和采购人代表共3人以上单数组成，其中评审专家人数不得少于竞争性谈判小组成员总数的2/3。谈判小组负责对供应商资格进行核查；对响应文件进行审查；谈判、对报价进行评价以及推荐或确定成交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谈判小组成员与供应商存在利害关系的，应当回避。</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评审</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评审原则</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评审活动遵循公平、公正、科学和择优的原则。</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评审程序</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供应商的资格审查</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谈判小组依据法律法规和谈判文件的规定，对响应文件中的资格证明文件等进行审查，以确定投标供应商是否具备投标资格。供应商不满足资格条件的，在评审时将其视为无效响应。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谈判小组可以要求供应商提交有关证明和证件的原件以便核验。</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响应文件的符合性审查</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谈判小组按照谈判文件的规定，从响应文件的有效性、完整性和对谈判文件的响应程度进行审查，以确定是否对谈判文件的实质性要求作出响应。</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谈判小组应当通过随机方式确定参加谈判供应商的谈判顺序，谈判小组所有成员集中与单一供应商分别进行谈判。谈判小组将给予所有参加谈判的供应商相同的谈判机会。谈判小组将谈判轮数公开告知参加谈判的供应商。</w:t>
      </w:r>
    </w:p>
    <w:p>
      <w:pPr>
        <w:widowControl w:val="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 xml:space="preserve">    2）</w:t>
      </w:r>
      <w:r>
        <w:rPr>
          <w:rFonts w:hint="default" w:ascii="Times New Roman" w:hAnsi="Times New Roman" w:eastAsia="宋体" w:cs="Times New Roman"/>
          <w:kern w:val="2"/>
          <w:sz w:val="24"/>
          <w:szCs w:val="24"/>
          <w:lang w:val="en-US" w:eastAsia="zh-CN" w:bidi="ar-SA"/>
        </w:rPr>
        <w:t>谈判内容</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谈判内容主要包括：针对本项目的技术、服务要求以及合同草案条款等；谈判文件不能详细列明采购标的的技术、服务要求的，需经谈判由供应商提供最终设计方案或解决方案；其它需要谈判的事项。</w:t>
      </w:r>
    </w:p>
    <w:p>
      <w:pPr>
        <w:numPr>
          <w:ilvl w:val="0"/>
          <w:numId w:val="0"/>
        </w:num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谈判程序</w:t>
      </w:r>
    </w:p>
    <w:p>
      <w:pPr>
        <w:spacing w:line="460" w:lineRule="exact"/>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 xml:space="preserve">   </w:t>
      </w:r>
      <w:r>
        <w:rPr>
          <w:rFonts w:hint="default" w:ascii="Times New Roman" w:hAnsi="Times New Roman" w:eastAsia="宋体" w:cs="Times New Roman"/>
          <w:sz w:val="24"/>
        </w:rPr>
        <w:t>第一阶段谈判：</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符合《政府采购法》第三十条第一项、第三项情形的，谈判小组应当对供应商响应文件的符合性审查，直接与实质性响应谈判文件要求的供应商就价格进行谈判。在最后一轮谈判结束后，谈判小组将要求所有仍在参加谈判的供应商在同一截止时间前进行最后报价。最后报价由其法定代表人或其委托代理人签字后密封递交给谈判小组。</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符合《政府采购法》第三十条第二项、第四项情形的，在谈判过程中，谈判小组应逐步明确采购需求，确定技术标准和要求，完善合同内容。谈判小组可以根据谈判文件和谈判情况实质性变动采购需求中的技术、服务要求以及合同草案条款，进行第二阶段谈判，但不得变动谈判文件中的其他内容。实质性变动的内容，须经采购人代表确认。谈判文件的实质性变动内容为谈判文件的组成部分，实质性变动内容与谈判文件不一致时，以实质性变动内容为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第二阶段谈判：</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谈判小组应要求所有参加第一阶段谈判的供应商以对其响应文件进行修正的方式，对谈判文件的实质性变动作出响应。在最后一轮谈判结束后，应当要求在谈判结束后同一截止时间前递交修正的响应文件和最后报价。供应商未按谈判小组规定递交的，视同在谈判开始之日后撤回响应文件。修正的响应文件和最后报价由其法定代表人或其委托代理人签字后递交给谈判小组。修正的响应文件为响应文件的组成部分。修正的响应文件与响应文件不一致时，以修正的响应文件为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②在第二阶段谈判过程中，不能确定成交结果的，谈判终止，采购人重新开展采购活动。</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最后报价</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可根据供应商的报价，响应内容及谈判的情况，要求各供应商分别进行不超过二轮报价，最后一轮谈判结束后，参加谈判的供应商应当对谈判的承诺和最后报价以书面形式确认，并由法定代表人或其授权委托人签署生效。最后报价是供应商响应文件的有效组成部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响应文件的澄清</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在对响应文件的有效性、完整性和响应程度进行审查时，可以要求供应商对响应文件中含义不明确、同类问题表述不一致或者有明显文字和计算错误的内容等作出必要的澄清、说明或者纠正。该要求应当以书面形式作出。供应商的澄清、说明或者补正应当采用书面形式，由其法定代表人或其委托代理人签字。供应商的澄清、说明或者更正不得超出谈判文件的范围或者改变响应文件的实质性内容。</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响应文件如果出现计算或表达上的错误，按照下列规定修正：</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1）响应文件中开标一览表（报价表）内容与响应文件中相应内容不一致的，以开标一览表（报价表）为准。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2）大写金额和小写金额不一致的，以大写金额为准；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3）单价金额小数点或者百分比有明显错位的，以开标一览表的总价为准，并修改单价；</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4）总价金额与按单价汇总金额不一致的，以单价金额计算结果为准；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5）对不同文字文本响应文件的解释发生异议的，以中文文本为准；</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6）同时出现两种以上不一致的，按照前款规定的顺序修正。按上述规定修正后的报价经供应商确认后对供应商起约束作用。如果供应商不确认修正后的报价，则其投标无效。</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供应商应按谈判小组通知的时间、地点，指派专人进行澄清、说明或者补正。</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推荐或确定成交供应商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谈判小组依据谈判文件及供应商响应文件和最后报价，从产品质量和服务均能满足谈判文件规定的最低要求供应商中，按政府采购政策优惠的规定，确定供应商的评审报价，按照经评审后的报价由低到高的顺序推荐成交候选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谈判的特殊情形</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递交响应文件的供应商不足三家的，不予谈判，除采购任务取消外，如谈判文件没有不合理条款，发布项目延期公告，延长三个工作日，延长期满后，仍不足三家的，继续进入谈判程序。</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对谈判文件作出实质性响应的供应商不足三家但达到二家的，谈判小组认为继续谈判能够引起充分竞争且技术上满足谈判文件要求、报价低于预算，可比照财政部《货物和服务招标投标管理办法》第43条规定，经谈判小组出具书面意见并签字认可，报经政府采购管理部门同意，通知供应商当场继续采用竞争性谈判；对谈判文件作出实质性响应的供应商只有一家的，予以废标，重新组织采购活动。</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项目经延期或重新组织采购后，对谈判文件作出实质性响应的供应商仍只有一家的，经谈判小组出具书面意见并签字认可，报经政府采购管理部门同意，改为其他方式采购。</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谈判终止</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谈判时，出现下列情况之一，本次谈判终止：</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1）符合专业条件的供应商或者对谈判文件作实质响应的供应商不足3家的；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2）出现影响采购公正的违法、违规行为的；</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3）供应商的最终报价均超过采购项目预算；</w:t>
      </w:r>
    </w:p>
    <w:p>
      <w:pPr>
        <w:spacing w:line="46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4）因重大变故，采购任务取消的。</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谈判小组应将谈判终止理由通知所有参与谈判的供应商。</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保密要求</w:t>
      </w:r>
    </w:p>
    <w:p>
      <w:pPr>
        <w:spacing w:line="460" w:lineRule="exact"/>
        <w:ind w:firstLine="480" w:firstLineChars="200"/>
        <w:rPr>
          <w:rFonts w:hint="eastAsia" w:ascii="宋体" w:hAnsi="宋体" w:eastAsia="宋体" w:cs="宋体"/>
          <w:sz w:val="24"/>
        </w:rPr>
      </w:pPr>
      <w:r>
        <w:rPr>
          <w:rFonts w:hint="default" w:ascii="Times New Roman" w:hAnsi="Times New Roman" w:eastAsia="宋体" w:cs="Times New Roman"/>
          <w:sz w:val="24"/>
        </w:rPr>
        <w:t>谈判小组成员以及与评审工作有关的人员对评审情况以及评审过程中获悉的国家秘密、商业秘密负有保密责任。开标后，直到授予中标人合同止，凡是属于审查、澄清、评审和比较的有关资料以及授标建议等均不得向供应商或其他无关的人员透露。应当保密。</w:t>
      </w:r>
    </w:p>
    <w:p>
      <w:pPr>
        <w:pStyle w:val="3"/>
        <w:bidi w:val="0"/>
        <w:rPr>
          <w:rFonts w:hint="default" w:ascii="Times New Roman" w:hAnsi="Times New Roman" w:eastAsia="宋体" w:cs="Times New Roman"/>
          <w:lang w:val="en-US" w:eastAsia="zh-CN"/>
        </w:rPr>
      </w:pPr>
      <w:bookmarkStart w:id="129" w:name="_Toc18616"/>
      <w:bookmarkStart w:id="130" w:name="_Toc12853_WPSOffice_Level1"/>
      <w:bookmarkStart w:id="131" w:name="_Toc5490"/>
      <w:bookmarkStart w:id="132" w:name="_Toc60996682"/>
      <w:bookmarkStart w:id="133" w:name="_Toc20995_WPSOffice_Level2"/>
      <w:bookmarkStart w:id="134" w:name="_六、中标结果"/>
      <w:r>
        <w:rPr>
          <w:rFonts w:hint="default" w:ascii="Times New Roman" w:hAnsi="Times New Roman" w:eastAsia="宋体" w:cs="Times New Roman"/>
          <w:lang w:val="en-US" w:eastAsia="zh-CN"/>
        </w:rPr>
        <w:t>2.7 成交结果</w:t>
      </w:r>
      <w:bookmarkEnd w:id="129"/>
      <w:bookmarkEnd w:id="130"/>
      <w:bookmarkEnd w:id="131"/>
      <w:bookmarkEnd w:id="132"/>
      <w:bookmarkEnd w:id="133"/>
    </w:p>
    <w:bookmarkEnd w:id="134"/>
    <w:p>
      <w:pPr>
        <w:spacing w:line="460" w:lineRule="exact"/>
        <w:ind w:firstLine="480" w:firstLineChars="200"/>
        <w:rPr>
          <w:rFonts w:hint="default" w:ascii="Times New Roman" w:hAnsi="Times New Roman" w:eastAsia="宋体" w:cs="Times New Roman"/>
          <w:sz w:val="24"/>
        </w:rPr>
      </w:pPr>
      <w:bookmarkStart w:id="135" w:name="_Toc7601"/>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成交供应商的确定</w:t>
      </w:r>
      <w:bookmarkEnd w:id="135"/>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应当自收到评审报告之日起5个工作日内，在评审报告提出的成交候选人中，根据质量和服务均能满足谈判文件实质性响应要求且最后报价最低的原则确定成交供应商，也可以书面授权谈判小组直接确定成交供应商。</w:t>
      </w:r>
    </w:p>
    <w:p>
      <w:pPr>
        <w:spacing w:line="460" w:lineRule="exact"/>
        <w:ind w:firstLine="480" w:firstLineChars="200"/>
        <w:rPr>
          <w:rFonts w:hint="default" w:ascii="Times New Roman" w:hAnsi="Times New Roman" w:eastAsia="宋体" w:cs="Times New Roman"/>
          <w:sz w:val="24"/>
        </w:rPr>
      </w:pPr>
      <w:bookmarkStart w:id="136" w:name="_Toc25957"/>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成交通知书</w:t>
      </w:r>
      <w:bookmarkEnd w:id="136"/>
    </w:p>
    <w:p>
      <w:pPr>
        <w:widowControl w:val="0"/>
        <w:adjustRightInd w:val="0"/>
        <w:snapToGrid w:val="0"/>
        <w:spacing w:before="120" w:beforeLines="50"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（1）采购人或者采购代理机构应当自成交供应商确定之日起 2 个工作日内，在学校指定的媒体上公告成交结果（发布媒体详见竞争性谈判公告），在公告成交结果的同时，采购人或者采购代理机构应当向成交供应商发出成交通知书。成交通知书对采购人和成交供应商具有同等法律效力。</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成交通知书是合同的一个组成部分。</w:t>
      </w:r>
    </w:p>
    <w:p>
      <w:pPr>
        <w:spacing w:line="460" w:lineRule="exact"/>
        <w:ind w:firstLine="480" w:firstLineChars="200"/>
        <w:rPr>
          <w:rFonts w:hint="default" w:ascii="Times New Roman" w:hAnsi="Times New Roman" w:eastAsia="宋体" w:cs="Times New Roman"/>
          <w:sz w:val="24"/>
        </w:rPr>
      </w:pPr>
      <w:bookmarkStart w:id="137" w:name="_Toc2208"/>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合同的签订</w:t>
      </w:r>
      <w:bookmarkEnd w:id="137"/>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采购人应当自成交通知书发出之日起 30 日内，按照谈判文件和成交供应商响应文件的规定，与成交供应商签订书面合同。所签订的合同不得对谈判文件确定的事项和成交供应商响应文件作实质性修改。</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采购人不得向成交供应商提出任何不合理的要求作为签订合同的条件。</w:t>
      </w:r>
    </w:p>
    <w:p>
      <w:pPr>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中标或者成交供应商拒绝与采购人签订合同的，采购人可以按照评审报告推荐的中标或者成交候选人名单排序，确定下一候选人为中标或者成交供应商，也可以重新开展政府采购活动。</w:t>
      </w:r>
    </w:p>
    <w:p>
      <w:pPr>
        <w:spacing w:line="460" w:lineRule="exact"/>
        <w:ind w:firstLine="480" w:firstLineChars="200"/>
        <w:rPr>
          <w:rFonts w:hint="default" w:ascii="Times New Roman" w:hAnsi="Times New Roman" w:eastAsia="宋体" w:cs="Times New Roman"/>
          <w:sz w:val="24"/>
        </w:rPr>
      </w:pPr>
      <w:bookmarkStart w:id="138" w:name="_Toc1372"/>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履约保证金</w:t>
      </w:r>
      <w:bookmarkEnd w:id="138"/>
    </w:p>
    <w:p>
      <w:pPr>
        <w:spacing w:line="460" w:lineRule="exact"/>
        <w:ind w:firstLine="480" w:firstLineChars="200"/>
        <w:rPr>
          <w:rFonts w:hint="eastAsia" w:ascii="Times New Roman" w:hAnsi="Times New Roman" w:eastAsia="宋体" w:cs="Times New Roman"/>
          <w:sz w:val="24"/>
          <w:lang w:eastAsia="zh-CN"/>
        </w:rPr>
        <w:sectPr>
          <w:pgSz w:w="11906" w:h="16838"/>
          <w:pgMar w:top="1418" w:right="1134" w:bottom="1134" w:left="1417" w:header="936" w:footer="720" w:gutter="0"/>
          <w:cols w:space="720" w:num="1"/>
          <w:docGrid w:linePitch="331" w:charSpace="0"/>
        </w:sectPr>
      </w:pPr>
      <w:r>
        <w:rPr>
          <w:rFonts w:hint="default" w:ascii="Times New Roman" w:hAnsi="Times New Roman" w:eastAsia="宋体" w:cs="Times New Roman"/>
          <w:sz w:val="24"/>
        </w:rPr>
        <w:t>签订合同前，中标人应按“供应商须知前附表”中确定的履约保证金的金额，向采购人交纳履约保证金，履约保证金的数额不得超过政府采购合同金额的10%</w:t>
      </w:r>
      <w:bookmarkEnd w:id="64"/>
      <w:bookmarkStart w:id="139" w:name="_Toc60996684"/>
      <w:bookmarkStart w:id="140" w:name="_Toc32340_WPSOffice_Level2"/>
      <w:bookmarkStart w:id="141" w:name="_Toc20297_WPSOffice_Level1"/>
      <w:r>
        <w:rPr>
          <w:rFonts w:hint="eastAsia" w:ascii="Times New Roman" w:hAnsi="Times New Roman" w:eastAsia="宋体" w:cs="Times New Roman"/>
          <w:sz w:val="24"/>
          <w:lang w:eastAsia="zh-CN"/>
        </w:rPr>
        <w:t>。</w:t>
      </w:r>
    </w:p>
    <w:p>
      <w:pPr>
        <w:pStyle w:val="2"/>
        <w:bidi w:val="0"/>
        <w:jc w:val="center"/>
        <w:rPr>
          <w:rFonts w:hint="eastAsia" w:ascii="宋体" w:hAnsi="宋体" w:eastAsia="宋体" w:cs="宋体"/>
          <w:b/>
          <w:sz w:val="48"/>
          <w:szCs w:val="48"/>
        </w:rPr>
      </w:pPr>
      <w:bookmarkStart w:id="142" w:name="_Toc27381"/>
      <w:r>
        <w:rPr>
          <w:rFonts w:hint="default" w:ascii="Times New Roman" w:hAnsi="Times New Roman" w:cs="Times New Roman"/>
          <w:lang w:val="en-US" w:eastAsia="zh-CN"/>
        </w:rPr>
        <w:t>第三章</w:t>
      </w:r>
      <w:bookmarkEnd w:id="139"/>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合同书样式</w:t>
      </w:r>
      <w:bookmarkEnd w:id="140"/>
      <w:bookmarkEnd w:id="141"/>
      <w:bookmarkEnd w:id="142"/>
    </w:p>
    <w:p>
      <w:pPr>
        <w:tabs>
          <w:tab w:val="left" w:pos="720"/>
        </w:tabs>
        <w:spacing w:line="360" w:lineRule="auto"/>
        <w:ind w:firstLine="3373" w:firstLineChars="700"/>
        <w:rPr>
          <w:rFonts w:hint="eastAsia" w:ascii="宋体" w:hAnsi="宋体" w:eastAsia="宋体" w:cs="宋体"/>
          <w:b/>
          <w:sz w:val="48"/>
          <w:szCs w:val="48"/>
        </w:rPr>
      </w:pPr>
      <w:bookmarkStart w:id="143" w:name="_Toc22352_WPSOffice_Level3"/>
      <w:bookmarkStart w:id="144" w:name="_Toc5768_WPSOffice_Level2"/>
      <w:r>
        <w:rPr>
          <w:rFonts w:hint="eastAsia" w:ascii="宋体" w:hAnsi="宋体" w:eastAsia="宋体" w:cs="宋体"/>
          <w:b/>
          <w:sz w:val="48"/>
          <w:szCs w:val="48"/>
        </w:rPr>
        <w:t>楚雄州政府采购</w:t>
      </w:r>
      <w:bookmarkEnd w:id="143"/>
      <w:bookmarkEnd w:id="144"/>
    </w:p>
    <w:p>
      <w:pPr>
        <w:tabs>
          <w:tab w:val="left" w:pos="720"/>
        </w:tabs>
        <w:spacing w:line="360" w:lineRule="auto"/>
        <w:rPr>
          <w:rFonts w:hint="eastAsia" w:ascii="宋体" w:hAnsi="宋体" w:eastAsia="宋体" w:cs="宋体"/>
          <w:b/>
          <w:szCs w:val="21"/>
        </w:rPr>
      </w:pPr>
    </w:p>
    <w:p>
      <w:pPr>
        <w:tabs>
          <w:tab w:val="left" w:pos="720"/>
        </w:tabs>
        <w:spacing w:line="360" w:lineRule="auto"/>
        <w:jc w:val="center"/>
        <w:rPr>
          <w:rFonts w:hint="eastAsia" w:ascii="宋体" w:hAnsi="宋体" w:eastAsia="宋体" w:cs="宋体"/>
          <w:b/>
          <w:sz w:val="48"/>
          <w:szCs w:val="48"/>
        </w:rPr>
      </w:pPr>
      <w:bookmarkStart w:id="145" w:name="_Toc20297_WPSOffice_Level2"/>
      <w:bookmarkStart w:id="146" w:name="_Toc19285_WPSOffice_Level3"/>
      <w:r>
        <w:rPr>
          <w:rFonts w:hint="eastAsia" w:ascii="宋体" w:hAnsi="宋体" w:eastAsia="宋体" w:cs="宋体"/>
          <w:b/>
          <w:sz w:val="48"/>
          <w:szCs w:val="48"/>
        </w:rPr>
        <w:t>合　同　书</w:t>
      </w:r>
      <w:bookmarkEnd w:id="145"/>
      <w:bookmarkEnd w:id="146"/>
    </w:p>
    <w:p>
      <w:pPr>
        <w:tabs>
          <w:tab w:val="left" w:pos="720"/>
        </w:tabs>
        <w:spacing w:line="360" w:lineRule="auto"/>
        <w:jc w:val="center"/>
        <w:rPr>
          <w:rFonts w:hint="eastAsia" w:ascii="宋体" w:hAnsi="宋体" w:eastAsia="宋体" w:cs="宋体"/>
          <w:b/>
          <w:sz w:val="36"/>
          <w:szCs w:val="36"/>
        </w:rPr>
      </w:pPr>
      <w:bookmarkStart w:id="147" w:name="_Toc16744_WPSOffice_Level3"/>
      <w:bookmarkStart w:id="148" w:name="_Toc22115_WPSOffice_Level2"/>
      <w:r>
        <w:rPr>
          <w:rFonts w:hint="eastAsia" w:ascii="宋体" w:hAnsi="宋体" w:eastAsia="宋体" w:cs="宋体"/>
          <w:b/>
          <w:sz w:val="36"/>
          <w:szCs w:val="36"/>
        </w:rPr>
        <w:t>（货物类）</w:t>
      </w:r>
      <w:bookmarkEnd w:id="147"/>
      <w:bookmarkEnd w:id="148"/>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tbl>
      <w:tblPr>
        <w:tblStyle w:val="11"/>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rPr>
            </w:pPr>
            <w:r>
              <w:rPr>
                <w:rFonts w:hint="eastAsia" w:ascii="宋体" w:hAnsi="宋体" w:eastAsia="宋体" w:cs="宋体"/>
                <w:b/>
                <w:szCs w:val="21"/>
              </w:rPr>
              <w:t>项目名称：</w:t>
            </w:r>
          </w:p>
        </w:tc>
      </w:tr>
    </w:tbl>
    <w:p>
      <w:pPr>
        <w:tabs>
          <w:tab w:val="left" w:pos="720"/>
        </w:tabs>
        <w:spacing w:line="360" w:lineRule="auto"/>
        <w:rPr>
          <w:rFonts w:hint="eastAsia" w:ascii="宋体" w:hAnsi="宋体" w:eastAsia="宋体" w:cs="宋体"/>
          <w:b/>
          <w:szCs w:val="21"/>
        </w:rPr>
      </w:pPr>
    </w:p>
    <w:p>
      <w:pPr>
        <w:tabs>
          <w:tab w:val="left" w:pos="720"/>
        </w:tabs>
        <w:spacing w:line="360" w:lineRule="auto"/>
        <w:rPr>
          <w:rFonts w:hint="eastAsia" w:ascii="宋体" w:hAnsi="宋体" w:eastAsia="宋体" w:cs="宋体"/>
          <w:b/>
          <w:szCs w:val="21"/>
        </w:rPr>
      </w:pPr>
    </w:p>
    <w:tbl>
      <w:tblPr>
        <w:tblStyle w:val="11"/>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u w:val="single"/>
              </w:rPr>
            </w:pPr>
            <w:r>
              <w:rPr>
                <w:rFonts w:hint="eastAsia" w:ascii="宋体" w:hAnsi="宋体" w:eastAsia="宋体" w:cs="宋体"/>
                <w:b/>
                <w:szCs w:val="21"/>
              </w:rPr>
              <w:t>采购项目编号：</w:t>
            </w: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hint="eastAsia" w:ascii="宋体" w:hAnsi="宋体" w:eastAsia="宋体" w:cs="宋体"/>
                <w:b/>
                <w:szCs w:val="21"/>
              </w:rPr>
            </w:pPr>
          </w:p>
        </w:tc>
      </w:tr>
      <w:tr>
        <w:tblPrEx>
          <w:tblCellMar>
            <w:top w:w="0" w:type="dxa"/>
            <w:left w:w="108" w:type="dxa"/>
            <w:bottom w:w="0" w:type="dxa"/>
            <w:right w:w="108" w:type="dxa"/>
          </w:tblCellMar>
        </w:tblPrEx>
        <w:trPr>
          <w:trHeight w:val="460" w:hRule="atLeast"/>
          <w:jc w:val="center"/>
        </w:trPr>
        <w:tc>
          <w:tcPr>
            <w:tcW w:w="5400" w:type="dxa"/>
            <w:noWrap/>
          </w:tcPr>
          <w:p>
            <w:pPr>
              <w:tabs>
                <w:tab w:val="left" w:pos="720"/>
              </w:tabs>
              <w:spacing w:line="360" w:lineRule="auto"/>
              <w:rPr>
                <w:rFonts w:hint="eastAsia" w:ascii="宋体" w:hAnsi="宋体" w:eastAsia="宋体" w:cs="宋体"/>
                <w:b/>
                <w:szCs w:val="21"/>
              </w:rPr>
            </w:pPr>
          </w:p>
        </w:tc>
      </w:tr>
    </w:tbl>
    <w:p>
      <w:pPr>
        <w:spacing w:line="360" w:lineRule="auto"/>
        <w:rPr>
          <w:rFonts w:hint="eastAsia" w:ascii="宋体" w:hAnsi="宋体" w:eastAsia="宋体" w:cs="宋体"/>
          <w:szCs w:val="21"/>
        </w:rPr>
      </w:pPr>
    </w:p>
    <w:p>
      <w:pPr>
        <w:spacing w:line="360" w:lineRule="auto"/>
        <w:rPr>
          <w:rFonts w:hint="eastAsia" w:ascii="宋体" w:hAnsi="宋体" w:eastAsia="宋体" w:cs="宋体"/>
          <w:b/>
          <w:szCs w:val="21"/>
        </w:rPr>
      </w:pPr>
      <w:r>
        <w:rPr>
          <w:rFonts w:hint="eastAsia" w:ascii="宋体" w:hAnsi="宋体" w:eastAsia="宋体" w:cs="宋体"/>
          <w:b/>
          <w:szCs w:val="21"/>
        </w:rPr>
        <w:t>注：本合同仅为合同的参考文本，合同签订双方可根据项目的具体要求进行修订。</w:t>
      </w:r>
    </w:p>
    <w:p>
      <w:pPr>
        <w:adjustRightInd w:val="0"/>
        <w:snapToGrid w:val="0"/>
        <w:spacing w:before="120" w:beforeLines="50" w:line="360" w:lineRule="auto"/>
        <w:rPr>
          <w:rFonts w:hint="eastAsia" w:ascii="宋体" w:hAnsi="宋体" w:eastAsia="宋体" w:cs="宋体"/>
          <w:b/>
          <w:szCs w:val="21"/>
        </w:rPr>
      </w:pPr>
    </w:p>
    <w:p>
      <w:pPr>
        <w:adjustRightInd w:val="0"/>
        <w:snapToGrid w:val="0"/>
        <w:spacing w:before="120" w:beforeLines="50" w:line="360" w:lineRule="auto"/>
        <w:rPr>
          <w:rFonts w:hint="eastAsia" w:ascii="宋体" w:hAnsi="宋体" w:eastAsia="宋体" w:cs="宋体"/>
          <w:b/>
          <w:szCs w:val="21"/>
        </w:rPr>
      </w:pPr>
    </w:p>
    <w:p>
      <w:pPr>
        <w:adjustRightInd w:val="0"/>
        <w:snapToGrid w:val="0"/>
        <w:spacing w:before="120" w:beforeLines="50" w:line="360" w:lineRule="auto"/>
        <w:rPr>
          <w:rFonts w:hint="eastAsia" w:ascii="宋体" w:hAnsi="宋体" w:eastAsia="宋体" w:cs="宋体"/>
          <w:b/>
          <w:szCs w:val="21"/>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widowControl w:val="0"/>
        <w:jc w:val="both"/>
        <w:rPr>
          <w:rFonts w:hint="eastAsia" w:ascii="宋体" w:hAnsi="宋体" w:eastAsia="宋体" w:cs="宋体"/>
          <w:b/>
          <w:kern w:val="0"/>
          <w:sz w:val="24"/>
          <w:szCs w:val="21"/>
          <w:lang w:val="en-US" w:eastAsia="zh-CN" w:bidi="ar-SA"/>
        </w:rPr>
      </w:pPr>
    </w:p>
    <w:p>
      <w:pPr>
        <w:adjustRightInd w:val="0"/>
        <w:snapToGrid w:val="0"/>
        <w:spacing w:before="120" w:beforeLines="50" w:line="360" w:lineRule="auto"/>
        <w:rPr>
          <w:rFonts w:hint="eastAsia" w:ascii="宋体" w:hAnsi="宋体" w:eastAsia="宋体" w:cs="宋体"/>
          <w:szCs w:val="21"/>
        </w:rPr>
      </w:pPr>
    </w:p>
    <w:p>
      <w:pPr>
        <w:adjustRightInd w:val="0"/>
        <w:snapToGrid w:val="0"/>
        <w:spacing w:before="120" w:beforeLines="5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采购人（全称）：（甲方）</w:t>
      </w:r>
    </w:p>
    <w:p>
      <w:pPr>
        <w:adjustRightInd w:val="0"/>
        <w:snapToGrid w:val="0"/>
        <w:spacing w:before="120" w:beforeLines="5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供应商（全称）：（乙方）</w:t>
      </w:r>
    </w:p>
    <w:p>
      <w:pPr>
        <w:spacing w:line="360" w:lineRule="auto"/>
        <w:ind w:firstLine="484" w:firstLineChars="202"/>
        <w:rPr>
          <w:rFonts w:hint="eastAsia" w:ascii="宋体" w:hAnsi="宋体" w:eastAsia="宋体" w:cs="宋体"/>
          <w:szCs w:val="21"/>
        </w:rPr>
      </w:pP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项目的采购结果，按照《中华人民共和国政府采购法》《合同法》的规定，</w:t>
      </w:r>
      <w:r>
        <w:rPr>
          <w:rFonts w:hint="default" w:ascii="Times New Roman" w:hAnsi="Times New Roman" w:eastAsia="宋体" w:cs="Times New Roman"/>
          <w:kern w:val="28"/>
          <w:sz w:val="24"/>
          <w:szCs w:val="24"/>
        </w:rPr>
        <w:t>经双方协商，</w:t>
      </w:r>
      <w:r>
        <w:rPr>
          <w:rFonts w:hint="default" w:ascii="Times New Roman" w:hAnsi="Times New Roman" w:eastAsia="宋体" w:cs="Times New Roman"/>
          <w:sz w:val="24"/>
          <w:szCs w:val="24"/>
        </w:rPr>
        <w:t>本着平等互利和诚实信用的原则，</w:t>
      </w:r>
      <w:r>
        <w:rPr>
          <w:rFonts w:hint="default" w:ascii="Times New Roman" w:hAnsi="Times New Roman" w:eastAsia="宋体" w:cs="Times New Roman"/>
          <w:kern w:val="28"/>
          <w:sz w:val="24"/>
          <w:szCs w:val="24"/>
        </w:rPr>
        <w:t>一致同意签订本合同如下。</w:t>
      </w:r>
    </w:p>
    <w:p>
      <w:pPr>
        <w:spacing w:line="360" w:lineRule="auto"/>
        <w:rPr>
          <w:rFonts w:hint="eastAsia" w:ascii="宋体" w:hAnsi="宋体" w:eastAsia="宋体" w:cs="宋体"/>
          <w:b/>
          <w:sz w:val="24"/>
          <w:szCs w:val="24"/>
        </w:rPr>
      </w:pPr>
      <w:bookmarkStart w:id="149" w:name="_Toc8111_WPSOffice_Level2"/>
      <w:bookmarkStart w:id="150" w:name="_Toc12853_WPSOffice_Level3"/>
      <w:r>
        <w:rPr>
          <w:rFonts w:hint="eastAsia" w:ascii="宋体" w:hAnsi="宋体" w:eastAsia="宋体" w:cs="宋体"/>
          <w:b/>
          <w:sz w:val="24"/>
          <w:szCs w:val="24"/>
        </w:rPr>
        <w:t>一、货物内容</w:t>
      </w:r>
      <w:bookmarkEnd w:id="149"/>
      <w:bookmarkEnd w:id="150"/>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150"/>
        <w:gridCol w:w="126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15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商品名称</w:t>
            </w:r>
          </w:p>
        </w:tc>
        <w:tc>
          <w:tcPr>
            <w:tcW w:w="315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品牌、规格型号、配置（性能参数）</w:t>
            </w:r>
          </w:p>
        </w:tc>
        <w:tc>
          <w:tcPr>
            <w:tcW w:w="126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产地</w:t>
            </w:r>
          </w:p>
        </w:tc>
        <w:tc>
          <w:tcPr>
            <w:tcW w:w="900" w:type="dxa"/>
            <w:tcBorders>
              <w:bottom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1080" w:type="dxa"/>
            <w:tcBorders>
              <w:bottom w:val="nil"/>
              <w:righ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单价(元)</w:t>
            </w:r>
          </w:p>
        </w:tc>
        <w:tc>
          <w:tcPr>
            <w:tcW w:w="1080" w:type="dxa"/>
            <w:tcBorders>
              <w:bottom w:val="nil"/>
              <w:righ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tcBorders>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55" w:type="dxa"/>
            <w:tcBorders>
              <w:left w:val="single" w:color="auto" w:sz="8" w:space="0"/>
            </w:tcBorders>
            <w:noWrap/>
            <w:vAlign w:val="center"/>
          </w:tcPr>
          <w:p>
            <w:pPr>
              <w:rPr>
                <w:rFonts w:hint="default" w:ascii="Times New Roman" w:hAnsi="Times New Roman" w:eastAsia="宋体" w:cs="Times New Roman"/>
                <w:sz w:val="21"/>
                <w:szCs w:val="21"/>
              </w:rPr>
            </w:pPr>
          </w:p>
        </w:tc>
        <w:tc>
          <w:tcPr>
            <w:tcW w:w="3150" w:type="dxa"/>
            <w:noWrap/>
            <w:vAlign w:val="center"/>
          </w:tcPr>
          <w:p>
            <w:pPr>
              <w:rPr>
                <w:rFonts w:hint="default" w:ascii="Times New Roman" w:hAnsi="Times New Roman" w:eastAsia="宋体" w:cs="Times New Roman"/>
                <w:sz w:val="21"/>
                <w:szCs w:val="21"/>
              </w:rPr>
            </w:pPr>
          </w:p>
        </w:tc>
        <w:tc>
          <w:tcPr>
            <w:tcW w:w="126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900" w:type="dxa"/>
            <w:tcBorders>
              <w:bottom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c>
          <w:tcPr>
            <w:tcW w:w="1080" w:type="dxa"/>
            <w:tcBorders>
              <w:bottom w:val="nil"/>
              <w:right w:val="single" w:color="auto" w:sz="8" w:space="0"/>
            </w:tcBorders>
            <w:noWrap/>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9360" w:type="dxa"/>
            <w:gridSpan w:val="7"/>
            <w:tcBorders>
              <w:left w:val="single" w:color="auto" w:sz="8" w:space="0"/>
              <w:right w:val="single" w:color="auto" w:sz="8" w:space="0"/>
            </w:tcBorders>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合计总额：￥；大写：</w:t>
            </w:r>
          </w:p>
        </w:tc>
      </w:tr>
    </w:tbl>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合同总额包括乙方安装、随机零配件、标配工具、运输保险、调试、培训、质保期服务、检测费、各项税费及合同实施过程中不可预见费用等。</w:t>
      </w:r>
    </w:p>
    <w:p>
      <w:pPr>
        <w:spacing w:line="360" w:lineRule="auto"/>
        <w:ind w:firstLine="480" w:firstLineChars="200"/>
        <w:rPr>
          <w:rFonts w:hint="eastAsia" w:ascii="宋体" w:hAnsi="宋体" w:eastAsia="宋体" w:cs="宋体"/>
          <w:szCs w:val="21"/>
        </w:rPr>
      </w:pPr>
      <w:r>
        <w:rPr>
          <w:rFonts w:hint="default" w:ascii="Times New Roman" w:hAnsi="Times New Roman" w:eastAsia="宋体" w:cs="Times New Roman"/>
          <w:sz w:val="24"/>
          <w:szCs w:val="24"/>
        </w:rPr>
        <w:t>注：货物名称内容必须与谈判文件中货物名称内容一致，并包含不低于100：5的比例提供相应的胶套、螺丝及五金配件（配件种类、数量按乙方在投标文件中承诺填写）。</w:t>
      </w:r>
    </w:p>
    <w:p>
      <w:pPr>
        <w:tabs>
          <w:tab w:val="left" w:pos="851"/>
        </w:tabs>
        <w:spacing w:line="360" w:lineRule="auto"/>
        <w:rPr>
          <w:rFonts w:hint="eastAsia" w:ascii="宋体" w:hAnsi="宋体" w:eastAsia="宋体" w:cs="宋体"/>
          <w:b/>
          <w:szCs w:val="21"/>
        </w:rPr>
      </w:pPr>
      <w:bookmarkStart w:id="151" w:name="_Toc19055_WPSOffice_Level3"/>
      <w:bookmarkStart w:id="152" w:name="_Toc4081_WPSOffice_Level2"/>
      <w:r>
        <w:rPr>
          <w:rFonts w:hint="default" w:ascii="Times New Roman" w:hAnsi="Times New Roman" w:eastAsia="宋体" w:cs="Times New Roman"/>
          <w:b/>
          <w:sz w:val="24"/>
          <w:szCs w:val="24"/>
        </w:rPr>
        <w:t>二、合同金额</w:t>
      </w:r>
      <w:bookmarkEnd w:id="151"/>
      <w:bookmarkEnd w:id="152"/>
    </w:p>
    <w:p>
      <w:pPr>
        <w:spacing w:line="360" w:lineRule="auto"/>
        <w:ind w:left="540" w:hanging="540"/>
        <w:rPr>
          <w:rFonts w:hint="eastAsia" w:ascii="宋体" w:hAnsi="宋体" w:eastAsia="宋体" w:cs="宋体"/>
        </w:rPr>
      </w:pPr>
      <w:r>
        <w:rPr>
          <w:rFonts w:hint="eastAsia" w:ascii="宋体" w:hAnsi="宋体" w:eastAsia="宋体" w:cs="宋体"/>
        </w:rPr>
        <w:tab/>
      </w:r>
      <w:r>
        <w:rPr>
          <w:rFonts w:hint="eastAsia" w:ascii="宋体" w:hAnsi="宋体" w:eastAsia="宋体" w:cs="宋体"/>
          <w:sz w:val="24"/>
          <w:szCs w:val="24"/>
        </w:rPr>
        <w:t>合同金额为（大写）：_________________元（￥_______________元）人民币。</w:t>
      </w:r>
    </w:p>
    <w:p>
      <w:pPr>
        <w:tabs>
          <w:tab w:val="left" w:pos="851"/>
        </w:tabs>
        <w:spacing w:line="360" w:lineRule="auto"/>
        <w:rPr>
          <w:rFonts w:hint="eastAsia" w:ascii="宋体" w:hAnsi="宋体" w:eastAsia="宋体" w:cs="宋体"/>
          <w:b/>
          <w:szCs w:val="21"/>
        </w:rPr>
      </w:pPr>
      <w:bookmarkStart w:id="153" w:name="_Toc22224_WPSOffice_Level3"/>
      <w:bookmarkStart w:id="154" w:name="_Toc25325_WPSOffice_Level2"/>
      <w:r>
        <w:rPr>
          <w:rFonts w:hint="eastAsia" w:ascii="宋体" w:hAnsi="宋体" w:eastAsia="宋体" w:cs="宋体"/>
          <w:b/>
          <w:sz w:val="24"/>
          <w:szCs w:val="24"/>
        </w:rPr>
        <w:t>三、设备要求</w:t>
      </w:r>
      <w:bookmarkEnd w:id="153"/>
      <w:bookmarkEnd w:id="154"/>
    </w:p>
    <w:p>
      <w:pPr>
        <w:spacing w:line="360" w:lineRule="auto"/>
        <w:ind w:hanging="311"/>
        <w:jc w:val="left"/>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 w:val="24"/>
          <w:szCs w:val="24"/>
        </w:rPr>
        <w:t>货物为原制造商制造的全新产品，整机无污染，无侵权行为、表面无划损、无任何缺陷隐患，在中国境内可依常规安全合法使用。</w:t>
      </w:r>
    </w:p>
    <w:p>
      <w:pPr>
        <w:tabs>
          <w:tab w:val="left" w:pos="851"/>
        </w:tabs>
        <w:spacing w:line="360" w:lineRule="auto"/>
        <w:rPr>
          <w:rFonts w:hint="eastAsia" w:ascii="宋体" w:hAnsi="宋体" w:eastAsia="宋体" w:cs="宋体"/>
          <w:b/>
          <w:szCs w:val="21"/>
        </w:rPr>
      </w:pPr>
      <w:bookmarkStart w:id="155" w:name="_Toc13234_WPSOffice_Level3"/>
      <w:bookmarkStart w:id="156" w:name="_Toc9761_WPSOffice_Level2"/>
      <w:r>
        <w:rPr>
          <w:rFonts w:hint="eastAsia" w:ascii="宋体" w:hAnsi="宋体" w:eastAsia="宋体" w:cs="宋体"/>
          <w:b/>
          <w:sz w:val="24"/>
          <w:szCs w:val="24"/>
        </w:rPr>
        <w:t>四、交货期、交货方式及交货地点</w:t>
      </w:r>
      <w:bookmarkEnd w:id="155"/>
      <w:bookmarkEnd w:id="156"/>
    </w:p>
    <w:p>
      <w:pPr>
        <w:tabs>
          <w:tab w:val="left" w:pos="851"/>
        </w:tabs>
        <w:spacing w:line="360" w:lineRule="auto"/>
        <w:ind w:left="851" w:hanging="851"/>
        <w:rPr>
          <w:rFonts w:hint="default" w:ascii="Times New Roman" w:hAnsi="Times New Roman" w:eastAsia="宋体" w:cs="Times New Roman"/>
          <w:sz w:val="24"/>
          <w:szCs w:val="24"/>
        </w:rPr>
      </w:pPr>
      <w:bookmarkStart w:id="157" w:name="_Toc6428_WPSOffice_Level3"/>
      <w:r>
        <w:rPr>
          <w:rFonts w:hint="default" w:ascii="Times New Roman" w:hAnsi="Times New Roman" w:eastAsia="宋体" w:cs="Times New Roman"/>
          <w:sz w:val="24"/>
          <w:szCs w:val="24"/>
        </w:rPr>
        <w:t>1.交货期：</w:t>
      </w:r>
      <w:bookmarkEnd w:id="157"/>
      <w:r>
        <w:rPr>
          <w:rFonts w:hint="default" w:ascii="Times New Roman" w:hAnsi="Times New Roman" w:eastAsia="宋体" w:cs="Times New Roman"/>
          <w:sz w:val="24"/>
          <w:szCs w:val="24"/>
        </w:rPr>
        <w:t>合同签订后30个日历天，并根据采购方要求分批送货、安装。</w:t>
      </w:r>
    </w:p>
    <w:p>
      <w:pPr>
        <w:tabs>
          <w:tab w:val="left" w:pos="851"/>
        </w:tabs>
        <w:spacing w:line="360" w:lineRule="auto"/>
        <w:ind w:left="851" w:hanging="851"/>
        <w:rPr>
          <w:rFonts w:hint="default" w:ascii="Times New Roman" w:hAnsi="Times New Roman" w:eastAsia="宋体" w:cs="Times New Roman"/>
          <w:sz w:val="24"/>
          <w:szCs w:val="24"/>
        </w:rPr>
      </w:pPr>
      <w:bookmarkStart w:id="158" w:name="_Toc5768_WPSOffice_Level3"/>
      <w:r>
        <w:rPr>
          <w:rFonts w:hint="default" w:ascii="Times New Roman" w:hAnsi="Times New Roman" w:eastAsia="宋体" w:cs="Times New Roman"/>
          <w:sz w:val="24"/>
          <w:szCs w:val="24"/>
        </w:rPr>
        <w:t>2.交货方式：</w:t>
      </w:r>
      <w:bookmarkEnd w:id="158"/>
      <w:r>
        <w:rPr>
          <w:rFonts w:hint="default" w:ascii="Times New Roman" w:hAnsi="Times New Roman" w:eastAsia="宋体" w:cs="Times New Roman"/>
          <w:sz w:val="24"/>
          <w:szCs w:val="24"/>
        </w:rPr>
        <w:t>完成安装并按甲方要求摆放。</w:t>
      </w:r>
    </w:p>
    <w:p>
      <w:pPr>
        <w:tabs>
          <w:tab w:val="left" w:pos="851"/>
        </w:tabs>
        <w:spacing w:line="360" w:lineRule="auto"/>
        <w:ind w:left="851" w:hanging="851"/>
        <w:rPr>
          <w:rFonts w:hint="eastAsia" w:ascii="宋体" w:hAnsi="宋体" w:eastAsia="宋体" w:cs="宋体"/>
          <w:szCs w:val="21"/>
        </w:rPr>
      </w:pPr>
      <w:bookmarkStart w:id="159" w:name="_Toc20297_WPSOffice_Level3"/>
      <w:r>
        <w:rPr>
          <w:rFonts w:hint="default" w:ascii="Times New Roman" w:hAnsi="Times New Roman" w:eastAsia="宋体" w:cs="Times New Roman"/>
          <w:sz w:val="24"/>
          <w:szCs w:val="24"/>
        </w:rPr>
        <w:t>3.交货地点：</w:t>
      </w:r>
      <w:bookmarkEnd w:id="159"/>
      <w:r>
        <w:rPr>
          <w:rFonts w:hint="default" w:ascii="Times New Roman" w:hAnsi="Times New Roman" w:eastAsia="宋体" w:cs="Times New Roman"/>
          <w:sz w:val="24"/>
          <w:szCs w:val="24"/>
        </w:rPr>
        <w:t>甲方指定的地点。</w:t>
      </w:r>
    </w:p>
    <w:p>
      <w:pPr>
        <w:tabs>
          <w:tab w:val="left" w:pos="851"/>
        </w:tabs>
        <w:spacing w:line="360" w:lineRule="auto"/>
        <w:ind w:left="851" w:hanging="851"/>
        <w:rPr>
          <w:rFonts w:hint="eastAsia" w:ascii="宋体" w:hAnsi="宋体" w:eastAsia="宋体" w:cs="宋体"/>
          <w:szCs w:val="21"/>
        </w:rPr>
      </w:pPr>
      <w:bookmarkStart w:id="160" w:name="_Toc29121_WPSOffice_Level2"/>
      <w:bookmarkStart w:id="161" w:name="_Toc21358_WPSOffice_Level3"/>
      <w:r>
        <w:rPr>
          <w:rFonts w:hint="eastAsia" w:ascii="宋体" w:hAnsi="宋体" w:eastAsia="宋体" w:cs="宋体"/>
          <w:b/>
          <w:sz w:val="24"/>
          <w:szCs w:val="24"/>
        </w:rPr>
        <w:t>五、付款方式</w:t>
      </w:r>
      <w:bookmarkEnd w:id="160"/>
      <w:bookmarkEnd w:id="161"/>
    </w:p>
    <w:p>
      <w:pPr>
        <w:spacing w:line="360" w:lineRule="auto"/>
        <w:ind w:left="180" w:hanging="180"/>
        <w:rPr>
          <w:rFonts w:hint="default" w:ascii="Times New Roman" w:hAnsi="Times New Roman" w:eastAsia="宋体" w:cs="Times New Roman"/>
          <w:sz w:val="24"/>
          <w:szCs w:val="24"/>
        </w:rPr>
      </w:pPr>
      <w:r>
        <w:rPr>
          <w:rFonts w:hint="eastAsia" w:ascii="宋体" w:hAnsi="宋体" w:eastAsia="宋体" w:cs="宋体"/>
          <w:szCs w:val="21"/>
        </w:rPr>
        <w:tab/>
      </w:r>
      <w:r>
        <w:rPr>
          <w:rFonts w:hint="default" w:ascii="Times New Roman" w:hAnsi="Times New Roman" w:eastAsia="宋体" w:cs="Times New Roman"/>
          <w:sz w:val="24"/>
          <w:szCs w:val="24"/>
        </w:rPr>
        <w:t>由甲方按下列程序在内付款：</w:t>
      </w:r>
    </w:p>
    <w:p>
      <w:pPr>
        <w:tabs>
          <w:tab w:val="left" w:pos="851"/>
        </w:tabs>
        <w:spacing w:line="360" w:lineRule="auto"/>
        <w:ind w:left="851" w:hanging="85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1.预付款：无。</w:t>
      </w:r>
    </w:p>
    <w:p>
      <w:pPr>
        <w:spacing w:line="360" w:lineRule="auto"/>
        <w:ind w:left="-10" w:leftChars="-5"/>
        <w:rPr>
          <w:rFonts w:hint="eastAsia" w:ascii="宋体" w:hAnsi="宋体" w:eastAsia="宋体" w:cs="宋体"/>
          <w:szCs w:val="21"/>
        </w:rPr>
      </w:pPr>
      <w:r>
        <w:rPr>
          <w:rFonts w:hint="default" w:ascii="Times New Roman" w:hAnsi="Times New Roman" w:eastAsia="宋体" w:cs="Times New Roman"/>
          <w:sz w:val="24"/>
          <w:szCs w:val="24"/>
        </w:rPr>
        <w:t>2.设备安装调试结束，提交全部报告材料，调试完成并验收合格后，支付至合同金额的100%。</w:t>
      </w:r>
    </w:p>
    <w:p>
      <w:pPr>
        <w:tabs>
          <w:tab w:val="left" w:pos="851"/>
        </w:tabs>
        <w:spacing w:line="360" w:lineRule="auto"/>
        <w:ind w:left="851" w:hanging="851"/>
        <w:rPr>
          <w:rFonts w:hint="eastAsia" w:ascii="宋体" w:hAnsi="宋体" w:eastAsia="宋体" w:cs="宋体"/>
          <w:b/>
          <w:szCs w:val="21"/>
        </w:rPr>
      </w:pPr>
      <w:r>
        <w:rPr>
          <w:rFonts w:hint="eastAsia" w:ascii="宋体" w:hAnsi="宋体" w:eastAsia="宋体" w:cs="宋体"/>
          <w:b/>
          <w:sz w:val="24"/>
          <w:szCs w:val="24"/>
        </w:rPr>
        <w:t>六、履约保金及质保金</w:t>
      </w:r>
    </w:p>
    <w:p>
      <w:pPr>
        <w:spacing w:line="360" w:lineRule="auto"/>
        <w:ind w:left="-10" w:leftChars="-5" w:firstLine="480" w:firstLineChars="200"/>
        <w:rPr>
          <w:rFonts w:hint="eastAsia" w:ascii="宋体" w:hAnsi="宋体" w:eastAsia="宋体" w:cs="宋体"/>
        </w:rPr>
      </w:pPr>
      <w:r>
        <w:rPr>
          <w:rFonts w:hint="default" w:ascii="Times New Roman" w:hAnsi="Times New Roman" w:eastAsia="宋体" w:cs="Times New Roman"/>
          <w:sz w:val="24"/>
          <w:szCs w:val="24"/>
        </w:rPr>
        <w:t>合同签订之前，供应商按合同金额的3%向采购人交纳履约保证金，履约保证金在供应商按合同约定交货验收合格后转为质量保证金，满3年后在20个工作日内甲方一次性无息退还乙方。</w:t>
      </w:r>
    </w:p>
    <w:p>
      <w:pPr>
        <w:spacing w:line="360" w:lineRule="auto"/>
        <w:ind w:left="851" w:hanging="851"/>
        <w:rPr>
          <w:rFonts w:hint="eastAsia" w:ascii="宋体" w:hAnsi="宋体" w:eastAsia="宋体" w:cs="宋体"/>
          <w:szCs w:val="21"/>
        </w:rPr>
      </w:pPr>
      <w:bookmarkStart w:id="162" w:name="_Toc23491_WPSOffice_Level3"/>
      <w:bookmarkStart w:id="163" w:name="_Toc12827_WPSOffice_Level2"/>
      <w:r>
        <w:rPr>
          <w:rFonts w:hint="eastAsia" w:ascii="宋体" w:hAnsi="宋体" w:eastAsia="宋体" w:cs="宋体"/>
          <w:b/>
          <w:sz w:val="24"/>
          <w:szCs w:val="24"/>
        </w:rPr>
        <w:t>七、质保期及售后服务要求</w:t>
      </w:r>
      <w:bookmarkEnd w:id="162"/>
      <w:bookmarkEnd w:id="163"/>
    </w:p>
    <w:p>
      <w:pPr>
        <w:spacing w:line="360" w:lineRule="auto"/>
        <w:rPr>
          <w:rFonts w:hint="default" w:ascii="Times New Roman" w:hAnsi="Times New Roman" w:eastAsia="宋体" w:cs="Times New Roman"/>
          <w:sz w:val="24"/>
          <w:szCs w:val="24"/>
        </w:rPr>
      </w:pPr>
      <w:bookmarkStart w:id="164" w:name="_Toc11294_WPSOffice_Level3"/>
      <w:bookmarkStart w:id="165" w:name="_Toc7817_WPSOffice_Level2"/>
      <w:r>
        <w:rPr>
          <w:rFonts w:hint="default" w:ascii="Times New Roman" w:hAnsi="Times New Roman" w:eastAsia="宋体" w:cs="Times New Roman"/>
          <w:sz w:val="24"/>
          <w:szCs w:val="24"/>
        </w:rPr>
        <w:t>1.本合同的质量保证期（简称“质保期”）为质量保证期不少于3年，质保期内乙方对所供货物实行包修、包换、包退及合同约定的其它事项，期满后可同时提供终身(免费/有偿)维修保养服务。</w:t>
      </w:r>
    </w:p>
    <w:p>
      <w:pPr>
        <w:tabs>
          <w:tab w:val="left" w:pos="-900"/>
        </w:tabs>
        <w:spacing w:line="360" w:lineRule="auto"/>
        <w:ind w:left="-10" w:leftChars="-5"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2.质保期内，如设备或零部件因质量原因出现故障而造成短期停用时，则质保期和免费维修期相应顺延。如停用时间累计超过60天则质保期重新计算。</w:t>
      </w:r>
    </w:p>
    <w:p>
      <w:pPr>
        <w:tabs>
          <w:tab w:val="left" w:pos="-540"/>
        </w:tabs>
        <w:spacing w:line="360" w:lineRule="auto"/>
        <w:ind w:left="-2" w:leftChars="-1" w:firstLine="120" w:firstLineChars="50"/>
        <w:rPr>
          <w:rFonts w:hint="eastAsia" w:ascii="宋体" w:hAnsi="宋体" w:eastAsia="宋体" w:cs="宋体"/>
          <w:szCs w:val="21"/>
        </w:rPr>
      </w:pPr>
      <w:r>
        <w:rPr>
          <w:rFonts w:hint="default" w:ascii="Times New Roman" w:hAnsi="Times New Roman" w:eastAsia="宋体" w:cs="Times New Roman"/>
          <w:sz w:val="24"/>
          <w:szCs w:val="24"/>
        </w:rPr>
        <w:t>3.对甲方的服务通知，乙方在接报后1小时内响应，2小时内到达现场，12小时内处理完毕。若在12小时内仍未能有效解决，乙方须免费提供同档次的设备予甲方临时使用。</w:t>
      </w:r>
    </w:p>
    <w:p>
      <w:pPr>
        <w:tabs>
          <w:tab w:val="left" w:pos="-540"/>
        </w:tabs>
        <w:spacing w:line="360" w:lineRule="auto"/>
        <w:ind w:left="-2" w:leftChars="-1" w:firstLine="120" w:firstLineChars="50"/>
        <w:rPr>
          <w:rFonts w:hint="eastAsia" w:ascii="宋体" w:hAnsi="宋体" w:eastAsia="宋体" w:cs="宋体"/>
          <w:szCs w:val="21"/>
        </w:rPr>
      </w:pPr>
      <w:r>
        <w:rPr>
          <w:rFonts w:hint="eastAsia" w:ascii="宋体" w:hAnsi="宋体" w:eastAsia="宋体" w:cs="宋体"/>
          <w:b/>
          <w:sz w:val="24"/>
          <w:szCs w:val="24"/>
        </w:rPr>
        <w:t>八、安装与调试</w:t>
      </w:r>
      <w:bookmarkEnd w:id="164"/>
      <w:bookmarkEnd w:id="165"/>
    </w:p>
    <w:p>
      <w:pPr>
        <w:tabs>
          <w:tab w:val="left" w:pos="-720"/>
        </w:tabs>
        <w:spacing w:line="360" w:lineRule="auto"/>
        <w:ind w:left="-6" w:leftChars="-3"/>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 w:val="24"/>
          <w:szCs w:val="24"/>
        </w:rPr>
        <w:t>乙方必须依照谈判文件的要求和谈判文件的承诺，将设备、系统安装并调试至正常运行的最佳状态。</w:t>
      </w:r>
    </w:p>
    <w:p>
      <w:pPr>
        <w:tabs>
          <w:tab w:val="left" w:pos="-540"/>
        </w:tabs>
        <w:spacing w:line="360" w:lineRule="auto"/>
        <w:ind w:left="-2" w:leftChars="-1" w:firstLine="120" w:firstLineChars="50"/>
        <w:rPr>
          <w:rFonts w:hint="eastAsia" w:ascii="宋体" w:hAnsi="宋体" w:eastAsia="宋体" w:cs="宋体"/>
          <w:b/>
          <w:szCs w:val="21"/>
        </w:rPr>
      </w:pPr>
      <w:bookmarkStart w:id="166" w:name="_Toc24366_WPSOffice_Level3"/>
      <w:bookmarkStart w:id="167" w:name="_Toc19260_WPSOffice_Level2"/>
      <w:r>
        <w:rPr>
          <w:rFonts w:hint="eastAsia" w:ascii="宋体" w:hAnsi="宋体" w:eastAsia="宋体" w:cs="宋体"/>
          <w:b/>
          <w:sz w:val="24"/>
          <w:szCs w:val="24"/>
        </w:rPr>
        <w:t>九、验收</w:t>
      </w:r>
      <w:bookmarkEnd w:id="166"/>
      <w:bookmarkEnd w:id="167"/>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1.交付验收标准</w:t>
      </w:r>
      <w:r>
        <w:rPr>
          <w:rFonts w:hint="default" w:ascii="Times New Roman" w:hAnsi="Times New Roman" w:eastAsia="宋体" w:cs="Times New Roman"/>
          <w:sz w:val="24"/>
          <w:szCs w:val="24"/>
          <w:lang w:val="en-GB"/>
        </w:rPr>
        <w:t>依次序对照适用</w:t>
      </w:r>
      <w:r>
        <w:rPr>
          <w:rFonts w:hint="default" w:ascii="Times New Roman" w:hAnsi="Times New Roman" w:eastAsia="宋体" w:cs="Times New Roman"/>
          <w:sz w:val="24"/>
          <w:szCs w:val="24"/>
        </w:rPr>
        <w:t>标准</w:t>
      </w:r>
      <w:r>
        <w:rPr>
          <w:rFonts w:hint="default" w:ascii="Times New Roman" w:hAnsi="Times New Roman" w:eastAsia="宋体" w:cs="Times New Roman"/>
          <w:sz w:val="24"/>
          <w:szCs w:val="24"/>
          <w:lang w:val="en-GB"/>
        </w:rPr>
        <w:t>为：</w:t>
      </w:r>
      <w:r>
        <w:rPr>
          <w:rFonts w:hint="default" w:ascii="Times New Roman" w:hAnsi="Times New Roman" w:eastAsia="宋体" w:cs="Times New Roman"/>
          <w:sz w:val="24"/>
          <w:szCs w:val="24"/>
        </w:rPr>
        <w:t>①符合中华人民共和国国家安全质量标准、环保标准或行业标准；②符合谈判文件和响应承诺中甲方认可的合理最佳配置、参数及各项要求；③货物来源国官方标准。</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2.进口产品必须具备原产地证明和商检局的检验证明及合法进货渠道证明。</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3.货物为原厂商未启封全新包装，具出厂合格证，序列号、包装箱号与出厂批号一致，并可追索查阅。所有随设备的附件必须齐全。</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4.乙方应将关键主机设备的用户手册、保修手册、有关单证资料及配备件、随机工具等交付给甲方，使用操作及安全须知等重要资料应附有中文说明。</w:t>
      </w:r>
    </w:p>
    <w:p>
      <w:pPr>
        <w:tabs>
          <w:tab w:val="left" w:pos="-540"/>
        </w:tabs>
        <w:spacing w:line="360" w:lineRule="auto"/>
        <w:ind w:left="-10" w:leftChars="-5" w:firstLine="9" w:firstLineChars="4"/>
        <w:rPr>
          <w:rFonts w:hint="eastAsia" w:ascii="宋体" w:hAnsi="宋体" w:eastAsia="宋体" w:cs="宋体"/>
          <w:szCs w:val="21"/>
        </w:rPr>
      </w:pPr>
      <w:r>
        <w:rPr>
          <w:rFonts w:hint="default" w:ascii="Times New Roman" w:hAnsi="Times New Roman" w:eastAsia="宋体" w:cs="Times New Roman"/>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tabs>
          <w:tab w:val="left" w:pos="851"/>
        </w:tabs>
        <w:spacing w:line="360" w:lineRule="auto"/>
        <w:rPr>
          <w:rFonts w:hint="eastAsia" w:ascii="宋体" w:hAnsi="宋体" w:eastAsia="宋体" w:cs="宋体"/>
          <w:b/>
          <w:szCs w:val="21"/>
        </w:rPr>
      </w:pPr>
      <w:bookmarkStart w:id="168" w:name="_Toc16348_WPSOffice_Level2"/>
      <w:bookmarkStart w:id="169" w:name="_Toc22224_WPSOffice_Level1"/>
      <w:r>
        <w:rPr>
          <w:rFonts w:hint="eastAsia" w:ascii="宋体" w:hAnsi="宋体" w:eastAsia="宋体" w:cs="宋体"/>
          <w:b/>
          <w:sz w:val="24"/>
          <w:szCs w:val="24"/>
          <w:lang w:eastAsia="zh-CN"/>
        </w:rPr>
        <w:t>十</w:t>
      </w:r>
      <w:r>
        <w:rPr>
          <w:rFonts w:hint="eastAsia" w:ascii="宋体" w:hAnsi="宋体" w:eastAsia="宋体" w:cs="宋体"/>
          <w:b/>
          <w:sz w:val="24"/>
          <w:szCs w:val="24"/>
        </w:rPr>
        <w:t>、违约责任与赔偿损失</w:t>
      </w:r>
      <w:bookmarkEnd w:id="168"/>
      <w:bookmarkEnd w:id="169"/>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乙方交付的货物、工程/提供的服务不符合本合同规定的，甲方有权拒收，并且乙方须向甲方支付本合同总价5%的违约金。</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3.甲方无正当理由拒收货物/接受服务，到期拒付货物/服务款项的，甲方向乙方偿付本合同总的5%的违约金。甲方逾期付款，则每日按本合同总价的3‰向乙方偿付违约金。</w:t>
      </w:r>
    </w:p>
    <w:p>
      <w:pPr>
        <w:tabs>
          <w:tab w:val="left" w:pos="-540"/>
        </w:tabs>
        <w:spacing w:line="360" w:lineRule="auto"/>
        <w:ind w:left="-10" w:leftChars="-5" w:firstLine="9" w:firstLineChars="4"/>
        <w:rPr>
          <w:rFonts w:hint="eastAsia" w:ascii="宋体" w:hAnsi="宋体" w:eastAsia="宋体" w:cs="宋体"/>
          <w:szCs w:val="21"/>
        </w:rPr>
      </w:pPr>
      <w:r>
        <w:rPr>
          <w:rFonts w:hint="default" w:ascii="Times New Roman" w:hAnsi="Times New Roman" w:eastAsia="宋体" w:cs="Times New Roman"/>
          <w:sz w:val="24"/>
          <w:szCs w:val="24"/>
        </w:rPr>
        <w:t>4.其它违约责任按《中华人民共和国合同法》处理。</w:t>
      </w:r>
    </w:p>
    <w:p>
      <w:pPr>
        <w:tabs>
          <w:tab w:val="left" w:pos="851"/>
        </w:tabs>
        <w:spacing w:line="360" w:lineRule="auto"/>
        <w:rPr>
          <w:rFonts w:hint="eastAsia" w:ascii="宋体" w:hAnsi="宋体" w:eastAsia="宋体" w:cs="宋体"/>
          <w:b/>
          <w:szCs w:val="21"/>
        </w:rPr>
      </w:pPr>
      <w:bookmarkStart w:id="170" w:name="_Toc16316_WPSOffice_Level2"/>
      <w:bookmarkStart w:id="171" w:name="_Toc13234_WPSOffice_Level1"/>
      <w:r>
        <w:rPr>
          <w:rFonts w:hint="eastAsia" w:ascii="宋体" w:hAnsi="宋体" w:eastAsia="宋体" w:cs="宋体"/>
          <w:b/>
          <w:sz w:val="24"/>
          <w:szCs w:val="24"/>
          <w:lang w:eastAsia="zh-CN"/>
        </w:rPr>
        <w:t>十一</w:t>
      </w:r>
      <w:r>
        <w:rPr>
          <w:rFonts w:hint="eastAsia" w:ascii="宋体" w:hAnsi="宋体" w:eastAsia="宋体" w:cs="宋体"/>
          <w:b/>
          <w:sz w:val="24"/>
          <w:szCs w:val="24"/>
        </w:rPr>
        <w:t>、争议的解决</w:t>
      </w:r>
      <w:bookmarkEnd w:id="170"/>
      <w:bookmarkEnd w:id="171"/>
    </w:p>
    <w:p>
      <w:pPr>
        <w:tabs>
          <w:tab w:val="left" w:pos="851"/>
        </w:tabs>
        <w:spacing w:line="360" w:lineRule="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 w:val="24"/>
          <w:szCs w:val="24"/>
        </w:rPr>
        <w:t>合同执行过程中发生的任何争议，如双方不能通过友好协商解决，按相关法律法规处理。</w:t>
      </w:r>
    </w:p>
    <w:p>
      <w:pPr>
        <w:tabs>
          <w:tab w:val="left" w:pos="851"/>
        </w:tabs>
        <w:spacing w:line="360" w:lineRule="auto"/>
        <w:rPr>
          <w:rFonts w:hint="eastAsia" w:ascii="宋体" w:hAnsi="宋体" w:eastAsia="宋体" w:cs="宋体"/>
          <w:b/>
          <w:szCs w:val="21"/>
        </w:rPr>
      </w:pPr>
      <w:bookmarkStart w:id="172" w:name="_Toc32013_WPSOffice_Level2"/>
      <w:bookmarkStart w:id="173" w:name="_Toc21358_WPSOffice_Level1"/>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、不可抗力</w:t>
      </w:r>
      <w:bookmarkEnd w:id="172"/>
      <w:bookmarkEnd w:id="173"/>
    </w:p>
    <w:p>
      <w:pPr>
        <w:tabs>
          <w:tab w:val="left" w:pos="851"/>
        </w:tabs>
        <w:spacing w:line="360" w:lineRule="auto"/>
        <w:rPr>
          <w:rFonts w:hint="eastAsia" w:ascii="宋体" w:hAnsi="宋体" w:eastAsia="宋体" w:cs="宋体"/>
          <w:szCs w:val="21"/>
        </w:rPr>
      </w:pPr>
      <w:r>
        <w:rPr>
          <w:rFonts w:hint="default" w:ascii="Times New Roman" w:hAnsi="Times New Roman" w:eastAsia="宋体" w:cs="Times New Roman"/>
          <w:sz w:val="24"/>
          <w:szCs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default" w:ascii="Times New Roman" w:hAnsi="Times New Roman" w:eastAsia="宋体" w:cs="Times New Roman"/>
          <w:sz w:val="24"/>
          <w:szCs w:val="24"/>
        </w:rPr>
      </w:pPr>
      <w:bookmarkStart w:id="174" w:name="_Toc19385_WPSOffice_Level2"/>
      <w:bookmarkStart w:id="175" w:name="_Toc23491_WPSOffice_Level1"/>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三</w:t>
      </w:r>
      <w:r>
        <w:rPr>
          <w:rFonts w:hint="default" w:ascii="Times New Roman" w:hAnsi="Times New Roman" w:eastAsia="宋体" w:cs="Times New Roman"/>
          <w:b/>
          <w:sz w:val="24"/>
          <w:szCs w:val="24"/>
        </w:rPr>
        <w:t>、税费</w:t>
      </w:r>
      <w:bookmarkEnd w:id="174"/>
      <w:bookmarkEnd w:id="175"/>
    </w:p>
    <w:p>
      <w:pPr>
        <w:tabs>
          <w:tab w:val="left" w:pos="851"/>
        </w:tabs>
        <w:spacing w:line="360" w:lineRule="auto"/>
        <w:ind w:left="851" w:hanging="85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在中国境内、外发生的与本合同执行有关的一切税费均由乙方负担。</w:t>
      </w:r>
    </w:p>
    <w:p>
      <w:pPr>
        <w:tabs>
          <w:tab w:val="left" w:pos="851"/>
        </w:tabs>
        <w:spacing w:line="360" w:lineRule="auto"/>
        <w:rPr>
          <w:rFonts w:hint="default" w:ascii="Times New Roman" w:hAnsi="Times New Roman" w:eastAsia="宋体" w:cs="Times New Roman"/>
          <w:b/>
          <w:sz w:val="24"/>
          <w:szCs w:val="24"/>
        </w:rPr>
      </w:pPr>
      <w:bookmarkStart w:id="176" w:name="_Toc21387_WPSOffice_Level2"/>
      <w:bookmarkStart w:id="177" w:name="_Toc11294_WPSOffice_Level1"/>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四</w:t>
      </w:r>
      <w:r>
        <w:rPr>
          <w:rFonts w:hint="default" w:ascii="Times New Roman" w:hAnsi="Times New Roman" w:eastAsia="宋体" w:cs="Times New Roman"/>
          <w:b/>
          <w:sz w:val="24"/>
          <w:szCs w:val="24"/>
        </w:rPr>
        <w:t>、其</w:t>
      </w:r>
      <w:bookmarkEnd w:id="176"/>
      <w:bookmarkEnd w:id="177"/>
      <w:r>
        <w:rPr>
          <w:rFonts w:hint="default" w:ascii="Times New Roman" w:hAnsi="Times New Roman" w:eastAsia="宋体" w:cs="Times New Roman"/>
          <w:b/>
          <w:sz w:val="24"/>
          <w:szCs w:val="24"/>
        </w:rPr>
        <w:t>他</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1.本合同所有附件、谈判文件、谈判文件、成交通知书均为合同的有效组成部分，与本合同具有同等法律效力。</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2.在执行本合同的过程中，所有经双方签署确认的文件（包括会议纪要、补充协议、往来信函）即成为本合同的有效组成部分。</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3.如一方地址、电话、传真号码有变更，应在变更当日内书面通知对方，否则，应承担相应责任。</w:t>
      </w:r>
    </w:p>
    <w:p>
      <w:pPr>
        <w:tabs>
          <w:tab w:val="left" w:pos="-540"/>
        </w:tabs>
        <w:spacing w:line="360" w:lineRule="auto"/>
        <w:ind w:left="-10" w:leftChars="-5" w:firstLine="9" w:firstLineChars="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4.除甲方事先书面同意外，乙方不得部分或全部转让其应履行的合同项下的义务。</w:t>
      </w:r>
    </w:p>
    <w:p>
      <w:pPr>
        <w:tabs>
          <w:tab w:val="left" w:pos="851"/>
        </w:tabs>
        <w:spacing w:line="360" w:lineRule="auto"/>
        <w:rPr>
          <w:rFonts w:hint="default" w:ascii="Times New Roman" w:hAnsi="Times New Roman" w:eastAsia="宋体" w:cs="Times New Roman"/>
          <w:b/>
          <w:sz w:val="24"/>
          <w:szCs w:val="24"/>
        </w:rPr>
      </w:pPr>
      <w:bookmarkStart w:id="178" w:name="_Toc24366_WPSOffice_Level1"/>
      <w:bookmarkStart w:id="179" w:name="_Toc2435_WPSOffice_Level2"/>
      <w:r>
        <w:rPr>
          <w:rFonts w:hint="default" w:ascii="Times New Roman" w:hAnsi="Times New Roman" w:eastAsia="宋体" w:cs="Times New Roman"/>
          <w:b/>
          <w:sz w:val="24"/>
          <w:szCs w:val="24"/>
        </w:rPr>
        <w:t>十</w:t>
      </w:r>
      <w:r>
        <w:rPr>
          <w:rFonts w:hint="default" w:ascii="Times New Roman" w:hAnsi="Times New Roman" w:eastAsia="宋体" w:cs="Times New Roman"/>
          <w:b/>
          <w:sz w:val="24"/>
          <w:szCs w:val="24"/>
          <w:lang w:eastAsia="zh-CN"/>
        </w:rPr>
        <w:t>五</w:t>
      </w:r>
      <w:r>
        <w:rPr>
          <w:rFonts w:hint="default" w:ascii="Times New Roman" w:hAnsi="Times New Roman" w:eastAsia="宋体" w:cs="Times New Roman"/>
          <w:b/>
          <w:sz w:val="24"/>
          <w:szCs w:val="24"/>
        </w:rPr>
        <w:t>、合同生效</w:t>
      </w:r>
      <w:bookmarkEnd w:id="178"/>
      <w:bookmarkEnd w:id="179"/>
    </w:p>
    <w:p>
      <w:pPr>
        <w:tabs>
          <w:tab w:val="left" w:pos="851"/>
        </w:tabs>
        <w:spacing w:line="360" w:lineRule="auto"/>
        <w:ind w:left="851" w:hanging="851"/>
        <w:rPr>
          <w:rFonts w:hint="default" w:ascii="Times New Roman" w:hAnsi="Times New Roman" w:eastAsia="宋体" w:cs="Times New Roman"/>
          <w:sz w:val="24"/>
          <w:szCs w:val="24"/>
        </w:rPr>
      </w:pPr>
      <w:bookmarkStart w:id="180" w:name="_Toc16751_WPSOffice_Level2"/>
      <w:bookmarkStart w:id="181" w:name="_Toc22115_WPSOffice_Level3"/>
      <w:r>
        <w:rPr>
          <w:rFonts w:hint="default" w:ascii="Times New Roman" w:hAnsi="Times New Roman" w:eastAsia="宋体" w:cs="Times New Roman"/>
          <w:sz w:val="24"/>
          <w:szCs w:val="24"/>
        </w:rPr>
        <w:t>1.本合同在甲乙双方法人代表或其授权代表签字盖章后生效。</w:t>
      </w:r>
      <w:bookmarkEnd w:id="180"/>
      <w:bookmarkEnd w:id="181"/>
    </w:p>
    <w:p>
      <w:pPr>
        <w:tabs>
          <w:tab w:val="left" w:pos="851"/>
        </w:tabs>
        <w:spacing w:line="360" w:lineRule="auto"/>
        <w:ind w:left="851" w:hanging="851"/>
        <w:rPr>
          <w:rFonts w:hint="default" w:ascii="Times New Roman" w:hAnsi="Times New Roman" w:eastAsia="宋体" w:cs="Times New Roman"/>
          <w:sz w:val="24"/>
          <w:szCs w:val="24"/>
        </w:rPr>
      </w:pPr>
      <w:bookmarkStart w:id="182" w:name="_Toc8111_WPSOffice_Level3"/>
      <w:bookmarkStart w:id="183" w:name="_Toc3720_WPSOffice_Level2"/>
      <w:r>
        <w:rPr>
          <w:rFonts w:hint="default" w:ascii="Times New Roman" w:hAnsi="Times New Roman" w:eastAsia="宋体" w:cs="Times New Roman"/>
          <w:sz w:val="24"/>
          <w:szCs w:val="24"/>
        </w:rPr>
        <w:t>2.合同一式    份。</w:t>
      </w:r>
      <w:bookmarkEnd w:id="182"/>
      <w:bookmarkEnd w:id="183"/>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合同订立时间：   年  月   日</w:t>
      </w:r>
    </w:p>
    <w:p>
      <w:pPr>
        <w:adjustRightInd w:val="0"/>
        <w:snapToGrid w:val="0"/>
        <w:spacing w:before="120" w:beforeLines="50" w:line="360" w:lineRule="auto"/>
        <w:rPr>
          <w:rFonts w:hint="eastAsia" w:ascii="宋体" w:hAnsi="宋体" w:eastAsia="宋体" w:cs="宋体"/>
          <w:szCs w:val="21"/>
        </w:rPr>
      </w:pPr>
      <w:r>
        <w:rPr>
          <w:rFonts w:hint="default" w:ascii="Times New Roman" w:hAnsi="Times New Roman" w:eastAsia="宋体" w:cs="Times New Roman"/>
          <w:sz w:val="24"/>
          <w:szCs w:val="24"/>
        </w:rPr>
        <w:t>合同订立地点：</w:t>
      </w:r>
    </w:p>
    <w:p>
      <w:pPr>
        <w:adjustRightInd w:val="0"/>
        <w:snapToGrid w:val="0"/>
        <w:spacing w:before="120" w:beforeLines="50" w:line="360" w:lineRule="auto"/>
        <w:rPr>
          <w:rFonts w:hint="eastAsia" w:ascii="宋体" w:hAnsi="宋体" w:eastAsia="宋体" w:cs="宋体"/>
          <w:szCs w:val="21"/>
        </w:rPr>
      </w:pPr>
    </w:p>
    <w:p>
      <w:pPr>
        <w:widowControl w:val="0"/>
        <w:spacing w:line="360" w:lineRule="auto"/>
        <w:ind w:firstLine="480" w:firstLineChars="200"/>
        <w:jc w:val="both"/>
        <w:rPr>
          <w:rFonts w:hint="eastAsia" w:ascii="宋体" w:hAnsi="宋体" w:eastAsia="宋体" w:cs="宋体"/>
          <w:kern w:val="0"/>
          <w:sz w:val="24"/>
          <w:szCs w:val="24"/>
          <w:lang w:val="en-US" w:eastAsia="zh-CN" w:bidi="ar-SA"/>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4874" w:type="dxa"/>
            <w:noWrap/>
          </w:tcPr>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甲方（盖章）：</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w:t>
            </w:r>
          </w:p>
          <w:p>
            <w:pPr>
              <w:adjustRightInd w:val="0"/>
              <w:snapToGrid w:val="0"/>
              <w:spacing w:before="120" w:before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联系电话：</w:t>
            </w:r>
          </w:p>
          <w:p>
            <w:pPr>
              <w:adjustRightInd w:val="0"/>
              <w:snapToGrid w:val="0"/>
              <w:spacing w:before="120" w:before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单位地址：</w:t>
            </w:r>
          </w:p>
          <w:p>
            <w:pPr>
              <w:adjustRightInd w:val="0"/>
              <w:snapToGrid w:val="0"/>
              <w:spacing w:before="120" w:beforeLines="50" w:line="360" w:lineRule="auto"/>
              <w:ind w:firstLine="420" w:firstLineChars="200"/>
              <w:rPr>
                <w:rFonts w:hint="eastAsia" w:ascii="宋体" w:hAnsi="宋体" w:eastAsia="宋体" w:cs="宋体"/>
                <w:szCs w:val="21"/>
              </w:rPr>
            </w:pPr>
          </w:p>
        </w:tc>
        <w:tc>
          <w:tcPr>
            <w:tcW w:w="4078" w:type="dxa"/>
            <w:noWrap/>
          </w:tcPr>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乙方（盖章）：</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联系电话：</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单位地址：</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开户银行：</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账    号：</w:t>
            </w:r>
          </w:p>
        </w:tc>
      </w:tr>
    </w:tbl>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sectPr>
          <w:pgSz w:w="11906" w:h="16838"/>
          <w:pgMar w:top="1418" w:right="1134" w:bottom="1134" w:left="1417" w:header="936" w:footer="720" w:gutter="0"/>
          <w:cols w:space="720" w:num="1"/>
          <w:docGrid w:linePitch="331" w:charSpace="0"/>
        </w:sectPr>
      </w:pPr>
      <w:bookmarkStart w:id="184" w:name="_Toc22115_WPSOffice_Level1"/>
      <w:bookmarkStart w:id="185" w:name="_Toc27123_WPSOffice_Level2"/>
      <w:bookmarkStart w:id="186" w:name="_Toc60996686"/>
      <w:bookmarkStart w:id="187" w:name="_第四章__投标文件格式"/>
    </w:p>
    <w:p>
      <w:pPr>
        <w:pStyle w:val="2"/>
        <w:bidi w:val="0"/>
        <w:jc w:val="center"/>
        <w:rPr>
          <w:rFonts w:hint="default" w:ascii="Times New Roman" w:hAnsi="Times New Roman" w:cs="Times New Roman"/>
          <w:lang w:val="en-US" w:eastAsia="zh-CN"/>
        </w:rPr>
      </w:pPr>
      <w:bookmarkStart w:id="188" w:name="_Toc29125"/>
      <w:r>
        <w:rPr>
          <w:rFonts w:hint="default" w:ascii="Times New Roman" w:hAnsi="Times New Roman" w:cs="Times New Roman"/>
          <w:lang w:val="en-US" w:eastAsia="zh-CN"/>
        </w:rPr>
        <w:t>第四章  响应文件格式</w:t>
      </w:r>
      <w:bookmarkEnd w:id="184"/>
      <w:bookmarkEnd w:id="185"/>
      <w:bookmarkEnd w:id="186"/>
      <w:bookmarkEnd w:id="188"/>
    </w:p>
    <w:bookmarkEnd w:id="187"/>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bookmarkStart w:id="189" w:name="_Toc17533_WPSOffice_Level2"/>
      <w:bookmarkStart w:id="190" w:name="_Toc30986_WPSOffice_Level3"/>
      <w:r>
        <w:rPr>
          <w:rFonts w:hint="eastAsia" w:ascii="宋体" w:hAnsi="宋体" w:eastAsia="宋体" w:cs="宋体"/>
          <w:b/>
          <w:bCs/>
          <w:kern w:val="44"/>
          <w:sz w:val="32"/>
          <w:szCs w:val="32"/>
          <w:lang w:val="en-US" w:eastAsia="zh-CN" w:bidi="ar-SA"/>
        </w:rPr>
        <w:t xml:space="preserve">     </w:t>
      </w:r>
    </w:p>
    <w:p>
      <w:pPr>
        <w:bidi w:val="0"/>
        <w:jc w:val="center"/>
        <w:rPr>
          <w:rFonts w:hint="eastAsia"/>
          <w:b/>
          <w:bCs/>
          <w:sz w:val="36"/>
          <w:szCs w:val="36"/>
          <w:lang w:val="en-US" w:eastAsia="zh-CN"/>
        </w:rPr>
      </w:pPr>
      <w:r>
        <w:rPr>
          <w:rFonts w:hint="eastAsia"/>
          <w:b/>
          <w:bCs/>
          <w:sz w:val="36"/>
          <w:szCs w:val="36"/>
          <w:lang w:val="en-US" w:eastAsia="zh-CN"/>
        </w:rPr>
        <w:t>楚雄医药高等专科学校保卫处办公用品采购项目</w:t>
      </w:r>
    </w:p>
    <w:bookmarkEnd w:id="189"/>
    <w:bookmarkEnd w:id="190"/>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p>
    <w:p>
      <w:pPr>
        <w:spacing w:line="360" w:lineRule="auto"/>
        <w:jc w:val="both"/>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widowControl w:val="0"/>
        <w:spacing w:line="360" w:lineRule="auto"/>
        <w:jc w:val="center"/>
        <w:rPr>
          <w:rFonts w:hint="eastAsia" w:ascii="宋体" w:hAnsi="宋体" w:eastAsia="宋体" w:cs="宋体"/>
          <w:sz w:val="24"/>
        </w:rPr>
      </w:pPr>
      <w:r>
        <w:rPr>
          <w:rFonts w:hint="eastAsia" w:ascii="宋体" w:hAnsi="宋体" w:eastAsia="宋体" w:cs="宋体"/>
          <w:b/>
          <w:kern w:val="2"/>
          <w:sz w:val="84"/>
          <w:szCs w:val="84"/>
          <w:lang w:val="en-US" w:eastAsia="zh-CN" w:bidi="ar-SA"/>
        </w:rPr>
        <w:t>响应文件</w:t>
      </w:r>
    </w:p>
    <w:p>
      <w:pPr>
        <w:widowControl w:val="0"/>
        <w:spacing w:line="360" w:lineRule="auto"/>
        <w:ind w:firstLine="2530" w:firstLineChars="900"/>
        <w:jc w:val="both"/>
        <w:rPr>
          <w:rFonts w:hint="eastAsia" w:ascii="宋体" w:hAnsi="宋体" w:eastAsia="宋体" w:cs="宋体"/>
          <w:b/>
          <w:kern w:val="2"/>
          <w:sz w:val="28"/>
          <w:szCs w:val="28"/>
          <w:lang w:val="en-US" w:eastAsia="zh-CN" w:bidi="ar-SA"/>
        </w:rPr>
      </w:pPr>
      <w:bookmarkStart w:id="191" w:name="_Toc25325_WPSOffice_Level3"/>
      <w:r>
        <w:rPr>
          <w:rFonts w:hint="eastAsia" w:ascii="宋体" w:hAnsi="宋体" w:eastAsia="宋体" w:cs="宋体"/>
          <w:b/>
          <w:kern w:val="2"/>
          <w:sz w:val="28"/>
          <w:szCs w:val="28"/>
          <w:lang w:val="en-US" w:eastAsia="zh-CN" w:bidi="ar-SA"/>
        </w:rPr>
        <w:t>项目编号：</w:t>
      </w:r>
      <w:bookmarkEnd w:id="191"/>
      <w:r>
        <w:rPr>
          <w:rFonts w:hint="eastAsia" w:ascii="宋体" w:hAnsi="宋体" w:eastAsia="宋体" w:cs="宋体"/>
          <w:b/>
          <w:kern w:val="2"/>
          <w:sz w:val="28"/>
          <w:szCs w:val="28"/>
          <w:lang w:val="en-US" w:eastAsia="zh-CN" w:bidi="ar-SA"/>
        </w:rPr>
        <w:t>CXYZC【2022】第4号</w:t>
      </w:r>
    </w:p>
    <w:p>
      <w:pPr>
        <w:widowControl w:val="0"/>
        <w:spacing w:line="360" w:lineRule="auto"/>
        <w:ind w:firstLine="3058" w:firstLineChars="1088"/>
        <w:jc w:val="both"/>
        <w:rPr>
          <w:rFonts w:hint="eastAsia" w:ascii="宋体" w:hAnsi="宋体" w:eastAsia="宋体" w:cs="宋体"/>
          <w:b/>
          <w:kern w:val="2"/>
          <w:sz w:val="28"/>
          <w:szCs w:val="28"/>
          <w:u w:val="single"/>
          <w:lang w:val="en-US" w:eastAsia="zh-CN" w:bidi="ar-SA"/>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ind w:firstLine="2220" w:firstLineChars="925"/>
        <w:rPr>
          <w:rFonts w:hint="eastAsia" w:ascii="宋体" w:hAnsi="宋体" w:eastAsia="宋体" w:cs="宋体"/>
          <w:sz w:val="24"/>
        </w:rPr>
      </w:pPr>
      <w:r>
        <w:rPr>
          <w:rFonts w:hint="eastAsia" w:ascii="宋体" w:hAnsi="宋体" w:eastAsia="宋体" w:cs="宋体"/>
          <w:sz w:val="24"/>
        </w:rPr>
        <w:t>供应商：（盖单位公章）</w:t>
      </w:r>
    </w:p>
    <w:p>
      <w:pPr>
        <w:spacing w:line="360" w:lineRule="auto"/>
        <w:ind w:firstLine="2220" w:firstLineChars="925"/>
        <w:rPr>
          <w:rFonts w:hint="eastAsia" w:ascii="宋体" w:hAnsi="宋体" w:eastAsia="宋体" w:cs="宋体"/>
          <w:sz w:val="24"/>
        </w:rPr>
      </w:pPr>
      <w:r>
        <w:rPr>
          <w:rFonts w:hint="eastAsia" w:ascii="宋体" w:hAnsi="宋体" w:eastAsia="宋体" w:cs="宋体"/>
          <w:sz w:val="24"/>
        </w:rPr>
        <w:t>法定代表人：（签名或盖章）</w:t>
      </w:r>
    </w:p>
    <w:p>
      <w:pPr>
        <w:spacing w:line="360" w:lineRule="auto"/>
        <w:ind w:firstLine="1980" w:firstLineChars="825"/>
        <w:jc w:val="center"/>
        <w:rPr>
          <w:rFonts w:hint="eastAsia" w:ascii="宋体" w:hAnsi="宋体" w:eastAsia="宋体" w:cs="宋体"/>
          <w:sz w:val="24"/>
        </w:rPr>
      </w:pPr>
    </w:p>
    <w:p>
      <w:pPr>
        <w:spacing w:line="360" w:lineRule="auto"/>
        <w:ind w:firstLine="2580" w:firstLineChars="1075"/>
        <w:rPr>
          <w:rFonts w:hint="eastAsia" w:ascii="宋体" w:hAnsi="宋体" w:eastAsia="宋体" w:cs="宋体"/>
          <w:sz w:val="24"/>
        </w:rPr>
        <w:sectPr>
          <w:pgSz w:w="11906" w:h="16838"/>
          <w:pgMar w:top="1418" w:right="1134" w:bottom="1134" w:left="1417" w:header="936" w:footer="720" w:gutter="0"/>
          <w:cols w:space="720" w:num="1"/>
          <w:docGrid w:linePitch="331" w:charSpace="0"/>
        </w:sectPr>
      </w:pPr>
      <w:r>
        <w:rPr>
          <w:rFonts w:hint="eastAsia" w:ascii="宋体" w:hAnsi="宋体" w:eastAsia="宋体" w:cs="宋体"/>
          <w:sz w:val="24"/>
        </w:rPr>
        <w:t>年    月   日</w:t>
      </w:r>
      <w:bookmarkStart w:id="192" w:name="_Toc396"/>
    </w:p>
    <w:p>
      <w:pPr>
        <w:pStyle w:val="3"/>
        <w:bidi w:val="0"/>
        <w:jc w:val="center"/>
        <w:rPr>
          <w:rFonts w:hint="eastAsia" w:ascii="宋体" w:hAnsi="宋体" w:eastAsia="宋体" w:cs="宋体"/>
          <w:b/>
          <w:bCs/>
          <w:szCs w:val="32"/>
        </w:rPr>
      </w:pPr>
      <w:bookmarkStart w:id="193" w:name="_Toc23423"/>
      <w:bookmarkStart w:id="194" w:name="_Toc60996687"/>
      <w:r>
        <w:rPr>
          <w:rFonts w:hint="default" w:ascii="Times New Roman" w:hAnsi="Times New Roman" w:eastAsia="宋体" w:cs="Times New Roman"/>
          <w:lang w:val="en-US" w:eastAsia="zh-CN"/>
        </w:rPr>
        <w:t xml:space="preserve">4.1 </w:t>
      </w:r>
      <w:r>
        <w:rPr>
          <w:rFonts w:hint="default" w:ascii="Times New Roman" w:hAnsi="Times New Roman" w:eastAsia="宋体" w:cs="Times New Roman"/>
        </w:rPr>
        <w:t>谈判响应函</w:t>
      </w:r>
      <w:bookmarkEnd w:id="193"/>
    </w:p>
    <w:p>
      <w:pPr>
        <w:spacing w:line="336" w:lineRule="auto"/>
        <w:jc w:val="left"/>
        <w:rPr>
          <w:rFonts w:hint="eastAsia" w:ascii="宋体" w:hAnsi="宋体" w:eastAsia="宋体" w:cs="宋体"/>
          <w:szCs w:val="21"/>
        </w:rPr>
      </w:pPr>
      <w:r>
        <w:rPr>
          <w:rFonts w:hint="eastAsia" w:ascii="宋体" w:hAnsi="宋体" w:eastAsia="宋体" w:cs="宋体"/>
          <w:szCs w:val="21"/>
        </w:rPr>
        <w:t>致：</w:t>
      </w:r>
    </w:p>
    <w:p>
      <w:pPr>
        <w:adjustRightInd w:val="0"/>
        <w:snapToGrid w:val="0"/>
        <w:spacing w:before="120" w:beforeLines="50" w:line="360" w:lineRule="auto"/>
        <w:ind w:firstLine="435"/>
        <w:rPr>
          <w:rFonts w:hint="eastAsia" w:ascii="宋体" w:hAnsi="宋体" w:eastAsia="宋体" w:cs="宋体"/>
          <w:szCs w:val="21"/>
        </w:rPr>
      </w:pPr>
      <w:r>
        <w:rPr>
          <w:rFonts w:hint="eastAsia" w:ascii="宋体" w:hAnsi="宋体" w:eastAsia="宋体" w:cs="宋体"/>
          <w:szCs w:val="21"/>
        </w:rPr>
        <w:t>根据贵方为</w:t>
      </w:r>
      <w:r>
        <w:rPr>
          <w:rFonts w:hint="eastAsia" w:ascii="宋体" w:hAnsi="宋体" w:eastAsia="宋体" w:cs="宋体"/>
          <w:szCs w:val="21"/>
          <w:u w:val="single"/>
        </w:rPr>
        <w:t xml:space="preserve">             </w:t>
      </w:r>
      <w:r>
        <w:rPr>
          <w:rFonts w:hint="eastAsia" w:ascii="宋体" w:hAnsi="宋体" w:eastAsia="宋体" w:cs="宋体"/>
          <w:szCs w:val="21"/>
        </w:rPr>
        <w:t>（项目名称）的谈判邀请（项目编号：</w:t>
      </w:r>
      <w:r>
        <w:rPr>
          <w:rFonts w:hint="eastAsia" w:ascii="宋体" w:hAnsi="宋体" w:eastAsia="宋体" w:cs="宋体"/>
          <w:szCs w:val="21"/>
          <w:u w:val="single"/>
        </w:rPr>
        <w:t xml:space="preserve">         </w:t>
      </w:r>
      <w:r>
        <w:rPr>
          <w:rFonts w:hint="eastAsia" w:ascii="宋体" w:hAnsi="宋体" w:eastAsia="宋体" w:cs="宋体"/>
          <w:szCs w:val="21"/>
        </w:rPr>
        <w:t xml:space="preserve">，签字代表 </w:t>
      </w:r>
      <w:r>
        <w:rPr>
          <w:rFonts w:hint="eastAsia" w:ascii="宋体" w:hAnsi="宋体" w:eastAsia="宋体" w:cs="宋体"/>
          <w:szCs w:val="21"/>
          <w:u w:val="single"/>
        </w:rPr>
        <w:t xml:space="preserve">        </w:t>
      </w:r>
      <w:r>
        <w:rPr>
          <w:rFonts w:hint="eastAsia" w:ascii="宋体" w:hAnsi="宋体" w:eastAsia="宋体" w:cs="宋体"/>
          <w:szCs w:val="21"/>
        </w:rPr>
        <w:t>（姓名、职务）经正式授权并代表投标人</w:t>
      </w:r>
      <w:r>
        <w:rPr>
          <w:rFonts w:hint="eastAsia" w:ascii="宋体" w:hAnsi="宋体" w:eastAsia="宋体" w:cs="宋体"/>
          <w:szCs w:val="21"/>
          <w:u w:val="single"/>
        </w:rPr>
        <w:t xml:space="preserve">       </w:t>
      </w:r>
      <w:r>
        <w:rPr>
          <w:rFonts w:hint="eastAsia" w:ascii="宋体" w:hAnsi="宋体" w:eastAsia="宋体" w:cs="宋体"/>
          <w:szCs w:val="21"/>
        </w:rPr>
        <w:t xml:space="preserve"> （投标人名称、地址）提交下述文件正本一份、副本一份并在此声明，所递交的谈判文件内容完整、真实。</w:t>
      </w:r>
    </w:p>
    <w:p>
      <w:pPr>
        <w:adjustRightInd w:val="0"/>
        <w:snapToGrid w:val="0"/>
        <w:spacing w:before="120"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1、商务文件：谈判函、开标一览表、分项价格表、商务条款响应/偏离表、谈判资格证明文件、谈判保证金； </w:t>
      </w:r>
    </w:p>
    <w:p>
      <w:pPr>
        <w:adjustRightInd w:val="0"/>
        <w:snapToGrid w:val="0"/>
        <w:spacing w:before="120"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2、技术文件：货物说明一览表、技术规格响应/偏离表、谈判货物符合谈判文件规定的证明文件。</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在此，签字代表宣布同意如下：</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1、所附谈判价格表中规定的应提交和交付的货物和服务谈判总价为：</w:t>
      </w:r>
      <w:r>
        <w:rPr>
          <w:rFonts w:hint="eastAsia" w:ascii="宋体" w:hAnsi="宋体" w:eastAsia="宋体" w:cs="宋体"/>
          <w:szCs w:val="21"/>
          <w:u w:val="single"/>
        </w:rPr>
        <w:t xml:space="preserve">          </w:t>
      </w:r>
      <w:r>
        <w:rPr>
          <w:rFonts w:hint="eastAsia" w:ascii="宋体" w:hAnsi="宋体" w:eastAsia="宋体" w:cs="宋体"/>
          <w:szCs w:val="21"/>
        </w:rPr>
        <w:t>(人民币大写)。</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2、投标人将按谈判文件的规定履行合同责任和义务。</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3、投标人已详细审查全部谈判文件。我们完全理解并同意放弃对这方面有不明及误解的权利。</w:t>
      </w:r>
    </w:p>
    <w:p>
      <w:pPr>
        <w:adjustRightInd w:val="0"/>
        <w:snapToGrid w:val="0"/>
        <w:spacing w:before="120" w:beforeLines="50" w:line="360" w:lineRule="auto"/>
        <w:ind w:firstLine="420" w:firstLineChars="200"/>
        <w:rPr>
          <w:rFonts w:hint="eastAsia" w:ascii="宋体" w:hAnsi="宋体" w:eastAsia="宋体" w:cs="宋体"/>
        </w:rPr>
      </w:pPr>
      <w:r>
        <w:rPr>
          <w:rFonts w:hint="eastAsia" w:ascii="宋体" w:hAnsi="宋体" w:eastAsia="宋体" w:cs="宋体"/>
          <w:szCs w:val="21"/>
        </w:rPr>
        <w:t>4、本谈判有效期为自谈判文件规定的提交谈判文件截止之日起</w:t>
      </w:r>
      <w:r>
        <w:rPr>
          <w:rFonts w:hint="eastAsia" w:ascii="宋体" w:hAnsi="宋体" w:eastAsia="宋体" w:cs="宋体"/>
          <w:szCs w:val="21"/>
          <w:u w:val="single"/>
        </w:rPr>
        <w:t xml:space="preserve">      </w:t>
      </w:r>
      <w:r>
        <w:rPr>
          <w:rFonts w:hint="eastAsia" w:ascii="宋体" w:hAnsi="宋体" w:eastAsia="宋体" w:cs="宋体"/>
          <w:szCs w:val="21"/>
        </w:rPr>
        <w:t>个日历日。在谈判有效期内</w:t>
      </w:r>
      <w:r>
        <w:rPr>
          <w:rFonts w:hint="eastAsia" w:ascii="宋体" w:hAnsi="宋体" w:eastAsia="宋体" w:cs="宋体"/>
        </w:rPr>
        <w:t>我方同意遵守本</w:t>
      </w:r>
      <w:r>
        <w:rPr>
          <w:rFonts w:hint="eastAsia" w:ascii="宋体" w:hAnsi="宋体" w:eastAsia="宋体" w:cs="宋体"/>
          <w:szCs w:val="21"/>
        </w:rPr>
        <w:t>谈判</w:t>
      </w:r>
      <w:r>
        <w:rPr>
          <w:rFonts w:hint="eastAsia" w:ascii="宋体" w:hAnsi="宋体" w:eastAsia="宋体" w:cs="宋体"/>
        </w:rPr>
        <w:t>文件中的承诺且在此期限期满之前</w:t>
      </w:r>
      <w:r>
        <w:rPr>
          <w:rFonts w:hint="eastAsia" w:ascii="宋体" w:hAnsi="宋体" w:eastAsia="宋体" w:cs="宋体"/>
          <w:szCs w:val="21"/>
        </w:rPr>
        <w:t>谈判</w:t>
      </w:r>
      <w:r>
        <w:rPr>
          <w:rFonts w:hint="eastAsia" w:ascii="宋体" w:hAnsi="宋体" w:eastAsia="宋体" w:cs="宋体"/>
        </w:rPr>
        <w:t>文件</w:t>
      </w:r>
      <w:r>
        <w:rPr>
          <w:rFonts w:hint="eastAsia" w:ascii="宋体" w:hAnsi="宋体" w:eastAsia="宋体" w:cs="宋体"/>
          <w:szCs w:val="21"/>
        </w:rPr>
        <w:t>对我方具有法律约束力</w:t>
      </w:r>
      <w:r>
        <w:rPr>
          <w:rFonts w:hint="eastAsia" w:ascii="宋体" w:hAnsi="宋体" w:eastAsia="宋体" w:cs="宋体"/>
        </w:rPr>
        <w:t>。</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5、根据第二章“谈判须知”规定，我方承诺：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 我们在参加本项目政府采购活动前三年内，在经营活动中没有违背法律的行为，并提供“参加政府采购活动前三年内在经营活动中没有重大违法记录的书面声明”；</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 我们依照有关法律的规定，没有偷税、漏税的行为，没有逃避缴纳社会保险资金的行为；</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 与采购人和采购代理机构</w:t>
      </w:r>
      <w:r>
        <w:rPr>
          <w:rFonts w:hint="eastAsia" w:ascii="宋体" w:hAnsi="宋体" w:eastAsia="宋体" w:cs="宋体"/>
          <w:bCs/>
          <w:szCs w:val="21"/>
        </w:rPr>
        <w:t>无任何的隶属关系或者其他利害关系</w:t>
      </w:r>
      <w:r>
        <w:rPr>
          <w:rFonts w:hint="eastAsia" w:ascii="宋体" w:hAnsi="宋体" w:eastAsia="宋体" w:cs="宋体"/>
          <w:szCs w:val="21"/>
        </w:rPr>
        <w:t>。</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6、同意提供贵方可能要求的与其谈判有关的一切数据或资料。 </w:t>
      </w:r>
    </w:p>
    <w:p>
      <w:pPr>
        <w:adjustRightInd w:val="0"/>
        <w:snapToGrid w:val="0"/>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7、废标后，在收到贵方的通知后，我方本谈判函及所有谈判文件中声明、授权、承诺、盖章签字等，对于贵方采用竞争性谈判采购仍然有效。我方遵守贵方谈判文件关于特殊情形采用竞争性谈判采购的有关规定，并无异议。</w:t>
      </w:r>
    </w:p>
    <w:p>
      <w:pPr>
        <w:widowControl w:val="0"/>
        <w:adjustRightInd w:val="0"/>
        <w:snapToGrid w:val="0"/>
        <w:spacing w:before="120" w:beforeLines="50" w:line="360" w:lineRule="auto"/>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投标人名称(盖章)：</w:t>
      </w:r>
    </w:p>
    <w:p>
      <w:pPr>
        <w:adjustRightInd w:val="0"/>
        <w:snapToGrid w:val="0"/>
        <w:spacing w:before="120" w:beforeLines="50" w:line="360" w:lineRule="auto"/>
        <w:rPr>
          <w:rFonts w:hint="eastAsia" w:ascii="宋体" w:hAnsi="宋体" w:eastAsia="宋体" w:cs="宋体"/>
          <w:szCs w:val="21"/>
          <w:u w:val="single"/>
        </w:rPr>
      </w:pPr>
      <w:r>
        <w:rPr>
          <w:rFonts w:hint="eastAsia" w:ascii="宋体" w:hAnsi="宋体" w:eastAsia="宋体" w:cs="宋体"/>
          <w:szCs w:val="21"/>
        </w:rPr>
        <w:t>法定代表人或其授权的代理人(签字)：</w:t>
      </w:r>
      <w:r>
        <w:rPr>
          <w:rFonts w:hint="eastAsia" w:ascii="宋体" w:hAnsi="宋体" w:eastAsia="宋体" w:cs="宋体"/>
          <w:szCs w:val="21"/>
          <w:u w:val="single"/>
        </w:rPr>
        <w:t xml:space="preserve">               </w:t>
      </w:r>
    </w:p>
    <w:p>
      <w:pPr>
        <w:adjustRightInd w:val="0"/>
        <w:snapToGrid w:val="0"/>
        <w:spacing w:before="120" w:beforeLines="50" w:line="360" w:lineRule="auto"/>
        <w:rPr>
          <w:rFonts w:hint="eastAsia" w:ascii="宋体" w:hAnsi="宋体" w:eastAsia="宋体" w:cs="宋体"/>
          <w:szCs w:val="21"/>
        </w:rPr>
        <w:sectPr>
          <w:pgSz w:w="11906" w:h="16838"/>
          <w:pgMar w:top="1418" w:right="1134" w:bottom="1134" w:left="1417" w:header="936" w:footer="720" w:gutter="0"/>
          <w:cols w:space="720" w:num="1"/>
          <w:docGrid w:linePitch="331" w:charSpace="0"/>
        </w:sect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192"/>
      <w:bookmarkEnd w:id="194"/>
    </w:p>
    <w:p>
      <w:pPr>
        <w:pStyle w:val="3"/>
        <w:bidi w:val="0"/>
        <w:jc w:val="center"/>
        <w:rPr>
          <w:rFonts w:hint="default" w:ascii="Times New Roman" w:hAnsi="Times New Roman" w:eastAsia="宋体" w:cs="Times New Roman"/>
        </w:rPr>
      </w:pPr>
      <w:bookmarkStart w:id="195" w:name="_Toc10050"/>
      <w:r>
        <w:rPr>
          <w:rFonts w:hint="default" w:ascii="Times New Roman" w:hAnsi="Times New Roman" w:eastAsia="宋体" w:cs="Times New Roman"/>
          <w:lang w:val="en-US" w:eastAsia="zh-CN"/>
        </w:rPr>
        <w:t xml:space="preserve">4.2 </w:t>
      </w:r>
      <w:r>
        <w:rPr>
          <w:rFonts w:hint="default" w:ascii="Times New Roman" w:hAnsi="Times New Roman" w:eastAsia="宋体" w:cs="Times New Roman"/>
        </w:rPr>
        <w:t>竞争性谈判报价一览表</w:t>
      </w:r>
      <w:bookmarkEnd w:id="195"/>
    </w:p>
    <w:p>
      <w:pPr>
        <w:spacing w:line="400" w:lineRule="exact"/>
        <w:rPr>
          <w:rFonts w:hint="eastAsia" w:ascii="宋体" w:hAnsi="宋体" w:eastAsia="宋体" w:cs="宋体"/>
          <w:sz w:val="24"/>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p>
    <w:tbl>
      <w:tblPr>
        <w:tblStyle w:val="11"/>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94"/>
        <w:gridCol w:w="2480"/>
        <w:gridCol w:w="170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3396" w:type="dxa"/>
            <w:gridSpan w:val="2"/>
            <w:noWrap/>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总报价</w:t>
            </w:r>
          </w:p>
        </w:tc>
        <w:tc>
          <w:tcPr>
            <w:tcW w:w="2480"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服务期</w:t>
            </w:r>
          </w:p>
        </w:tc>
        <w:tc>
          <w:tcPr>
            <w:tcW w:w="1701"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供货期</w:t>
            </w:r>
          </w:p>
        </w:tc>
        <w:tc>
          <w:tcPr>
            <w:tcW w:w="2469"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96" w:type="dxa"/>
            <w:gridSpan w:val="2"/>
            <w:noWrap/>
            <w:vAlign w:val="center"/>
          </w:tcPr>
          <w:p>
            <w:pPr>
              <w:spacing w:line="400" w:lineRule="exact"/>
              <w:rPr>
                <w:rFonts w:hint="eastAsia" w:ascii="宋体" w:hAnsi="宋体" w:eastAsia="宋体" w:cs="宋体"/>
                <w:szCs w:val="21"/>
              </w:rPr>
            </w:pPr>
            <w:r>
              <w:rPr>
                <w:rFonts w:hint="eastAsia" w:ascii="宋体" w:hAnsi="宋体" w:eastAsia="宋体" w:cs="宋体"/>
                <w:szCs w:val="21"/>
              </w:rPr>
              <w:t>小写：</w:t>
            </w:r>
          </w:p>
          <w:p>
            <w:pPr>
              <w:spacing w:line="400" w:lineRule="exact"/>
              <w:rPr>
                <w:rFonts w:hint="eastAsia" w:ascii="宋体" w:hAnsi="宋体" w:eastAsia="宋体" w:cs="宋体"/>
                <w:szCs w:val="21"/>
              </w:rPr>
            </w:pPr>
            <w:r>
              <w:rPr>
                <w:rFonts w:hint="eastAsia" w:ascii="宋体" w:hAnsi="宋体" w:eastAsia="宋体" w:cs="宋体"/>
                <w:szCs w:val="21"/>
              </w:rPr>
              <w:t>大写：</w:t>
            </w:r>
          </w:p>
        </w:tc>
        <w:tc>
          <w:tcPr>
            <w:tcW w:w="2480" w:type="dxa"/>
            <w:noWrap/>
            <w:vAlign w:val="center"/>
          </w:tcPr>
          <w:p>
            <w:pPr>
              <w:spacing w:line="400" w:lineRule="exact"/>
              <w:rPr>
                <w:rFonts w:hint="eastAsia" w:ascii="宋体" w:hAnsi="宋体" w:eastAsia="宋体" w:cs="宋体"/>
                <w:szCs w:val="21"/>
              </w:rPr>
            </w:pPr>
          </w:p>
        </w:tc>
        <w:tc>
          <w:tcPr>
            <w:tcW w:w="1701" w:type="dxa"/>
            <w:noWrap/>
          </w:tcPr>
          <w:p>
            <w:pPr>
              <w:widowControl w:val="0"/>
              <w:spacing w:line="400" w:lineRule="exact"/>
              <w:jc w:val="both"/>
              <w:rPr>
                <w:rFonts w:hint="eastAsia" w:ascii="宋体" w:hAnsi="宋体" w:eastAsia="宋体" w:cs="宋体"/>
                <w:kern w:val="2"/>
                <w:sz w:val="21"/>
                <w:szCs w:val="20"/>
                <w:lang w:val="en-US" w:eastAsia="zh-CN" w:bidi="ar-SA"/>
              </w:rPr>
            </w:pPr>
          </w:p>
        </w:tc>
        <w:tc>
          <w:tcPr>
            <w:tcW w:w="2469" w:type="dxa"/>
            <w:noWrap/>
            <w:vAlign w:val="center"/>
          </w:tcPr>
          <w:p>
            <w:pPr>
              <w:widowControl w:val="0"/>
              <w:spacing w:line="400" w:lineRule="exact"/>
              <w:jc w:val="center"/>
              <w:rPr>
                <w:rFonts w:hint="eastAsia" w:ascii="宋体" w:hAnsi="宋体" w:eastAsia="宋体" w:cs="宋体"/>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jc w:val="center"/>
        </w:trPr>
        <w:tc>
          <w:tcPr>
            <w:tcW w:w="1402" w:type="dxa"/>
            <w:noWrap/>
          </w:tcPr>
          <w:p>
            <w:pPr>
              <w:spacing w:line="400" w:lineRule="exact"/>
              <w:ind w:firstLine="2" w:firstLineChars="1"/>
              <w:rPr>
                <w:rFonts w:hint="eastAsia" w:ascii="宋体" w:hAnsi="宋体" w:eastAsia="宋体" w:cs="宋体"/>
                <w:szCs w:val="21"/>
              </w:rPr>
            </w:pPr>
          </w:p>
        </w:tc>
        <w:tc>
          <w:tcPr>
            <w:tcW w:w="8644" w:type="dxa"/>
            <w:gridSpan w:val="4"/>
            <w:noWrap/>
            <w:vAlign w:val="center"/>
          </w:tcPr>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供应商：（盖单位公章）</w:t>
            </w:r>
          </w:p>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法定代表人或其委托代理人：（签字或盖章）</w:t>
            </w:r>
          </w:p>
          <w:p>
            <w:pPr>
              <w:adjustRightInd w:val="0"/>
              <w:snapToGrid w:val="0"/>
              <w:spacing w:line="400" w:lineRule="exact"/>
              <w:rPr>
                <w:rFonts w:hint="eastAsia" w:ascii="宋体" w:hAnsi="宋体" w:eastAsia="宋体" w:cs="宋体"/>
                <w:b/>
                <w:szCs w:val="21"/>
              </w:rPr>
            </w:pPr>
            <w:r>
              <w:rPr>
                <w:rFonts w:hint="eastAsia" w:ascii="宋体" w:hAnsi="宋体" w:eastAsia="宋体" w:cs="宋体"/>
                <w:szCs w:val="21"/>
              </w:rPr>
              <w:t>日期：年  月    日</w:t>
            </w:r>
          </w:p>
          <w:p>
            <w:pPr>
              <w:widowControl w:val="0"/>
              <w:spacing w:line="400" w:lineRule="exact"/>
              <w:jc w:val="center"/>
              <w:rPr>
                <w:rFonts w:hint="eastAsia" w:ascii="宋体" w:hAnsi="宋体" w:eastAsia="宋体" w:cs="宋体"/>
                <w:kern w:val="2"/>
                <w:sz w:val="21"/>
                <w:szCs w:val="20"/>
                <w:lang w:val="en-US" w:eastAsia="zh-CN" w:bidi="ar-SA"/>
              </w:rPr>
            </w:pPr>
          </w:p>
        </w:tc>
      </w:tr>
    </w:tbl>
    <w:p>
      <w:pPr>
        <w:widowControl w:val="0"/>
        <w:spacing w:line="400" w:lineRule="exact"/>
        <w:jc w:val="both"/>
        <w:rPr>
          <w:rFonts w:hint="eastAsia" w:ascii="宋体" w:hAnsi="宋体" w:eastAsia="宋体" w:cs="宋体"/>
          <w:kern w:val="2"/>
          <w:sz w:val="21"/>
          <w:szCs w:val="20"/>
          <w:lang w:val="en-US" w:eastAsia="zh-CN" w:bidi="ar-SA"/>
        </w:rPr>
      </w:pPr>
    </w:p>
    <w:p>
      <w:pPr>
        <w:widowControl w:val="0"/>
        <w:spacing w:line="400" w:lineRule="exact"/>
        <w:jc w:val="both"/>
        <w:rPr>
          <w:rFonts w:hint="eastAsia" w:ascii="宋体" w:hAnsi="宋体" w:eastAsia="宋体" w:cs="宋体"/>
          <w:kern w:val="2"/>
          <w:sz w:val="21"/>
          <w:szCs w:val="20"/>
          <w:lang w:val="en-US" w:eastAsia="zh-CN" w:bidi="ar-SA"/>
        </w:rPr>
      </w:pPr>
    </w:p>
    <w:p>
      <w:pPr>
        <w:adjustRightInd w:val="0"/>
        <w:snapToGrid w:val="0"/>
        <w:spacing w:line="400" w:lineRule="exact"/>
        <w:ind w:left="-88" w:leftChars="-42"/>
        <w:rPr>
          <w:rFonts w:hint="eastAsia" w:ascii="宋体" w:hAnsi="宋体" w:eastAsia="宋体" w:cs="宋体"/>
          <w:szCs w:val="21"/>
        </w:rPr>
      </w:pPr>
    </w:p>
    <w:p>
      <w:pPr>
        <w:shd w:val="clear" w:color="auto" w:fill="FFFFFF"/>
        <w:snapToGrid w:val="0"/>
        <w:spacing w:line="400" w:lineRule="exact"/>
        <w:ind w:left="851" w:hanging="851"/>
        <w:rPr>
          <w:rFonts w:hint="eastAsia" w:ascii="宋体" w:hAnsi="宋体" w:eastAsia="宋体" w:cs="宋体"/>
          <w:sz w:val="24"/>
        </w:rPr>
      </w:pPr>
      <w:r>
        <w:rPr>
          <w:rFonts w:hint="eastAsia" w:ascii="宋体" w:hAnsi="宋体" w:eastAsia="宋体" w:cs="宋体"/>
          <w:sz w:val="24"/>
        </w:rPr>
        <w:t> </w:t>
      </w: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rPr>
          <w:rFonts w:hint="eastAsia" w:ascii="宋体" w:hAnsi="宋体" w:eastAsia="宋体" w:cs="宋体"/>
          <w:b/>
          <w:bCs/>
          <w:sz w:val="28"/>
          <w:szCs w:val="28"/>
        </w:rPr>
        <w:sectPr>
          <w:pgSz w:w="11906" w:h="16838"/>
          <w:pgMar w:top="1418" w:right="1134" w:bottom="1134" w:left="1417" w:header="936" w:footer="720" w:gutter="0"/>
          <w:cols w:space="720" w:num="1"/>
          <w:docGrid w:linePitch="331" w:charSpace="0"/>
        </w:sectPr>
      </w:pPr>
    </w:p>
    <w:p>
      <w:pPr>
        <w:pStyle w:val="3"/>
        <w:bidi w:val="0"/>
        <w:jc w:val="center"/>
        <w:rPr>
          <w:rFonts w:hint="default" w:ascii="Times New Roman" w:hAnsi="Times New Roman" w:eastAsia="宋体" w:cs="Times New Roman"/>
        </w:rPr>
      </w:pPr>
      <w:bookmarkStart w:id="196" w:name="_Toc7817_WPSOffice_Level3"/>
      <w:bookmarkStart w:id="197" w:name="_Toc24277"/>
      <w:r>
        <w:rPr>
          <w:rFonts w:hint="default" w:ascii="Times New Roman" w:hAnsi="Times New Roman" w:eastAsia="宋体" w:cs="Times New Roman"/>
          <w:lang w:val="en-US" w:eastAsia="zh-CN"/>
        </w:rPr>
        <w:t xml:space="preserve">4.3 </w:t>
      </w:r>
      <w:r>
        <w:rPr>
          <w:rFonts w:hint="default" w:ascii="Times New Roman" w:hAnsi="Times New Roman" w:eastAsia="宋体" w:cs="Times New Roman"/>
        </w:rPr>
        <w:t>分项报价表</w:t>
      </w:r>
      <w:bookmarkEnd w:id="196"/>
      <w:bookmarkEnd w:id="197"/>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r>
        <w:rPr>
          <w:rFonts w:hint="eastAsia" w:ascii="宋体" w:hAnsi="宋体" w:eastAsia="宋体" w:cs="宋体"/>
          <w:szCs w:val="21"/>
        </w:rPr>
        <w:t xml:space="preserve">      货币单位:元  </w:t>
      </w:r>
    </w:p>
    <w:p>
      <w:pPr>
        <w:widowControl w:val="0"/>
        <w:jc w:val="both"/>
        <w:rPr>
          <w:rFonts w:hint="eastAsia" w:ascii="宋体" w:hAnsi="宋体" w:eastAsia="宋体" w:cs="宋体"/>
          <w:kern w:val="0"/>
          <w:sz w:val="24"/>
          <w:szCs w:val="24"/>
          <w:lang w:val="en-US" w:eastAsia="zh-CN" w:bidi="ar-SA"/>
        </w:rPr>
      </w:pPr>
    </w:p>
    <w:tbl>
      <w:tblPr>
        <w:tblStyle w:val="11"/>
        <w:tblpPr w:leftFromText="180" w:rightFromText="180" w:vertAnchor="text" w:horzAnchor="page" w:tblpXSpec="center" w:tblpY="579"/>
        <w:tblOverlap w:val="never"/>
        <w:tblW w:w="67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90"/>
        <w:gridCol w:w="1020"/>
        <w:gridCol w:w="1110"/>
        <w:gridCol w:w="1140"/>
        <w:gridCol w:w="825"/>
        <w:gridCol w:w="705"/>
        <w:gridCol w:w="12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vMerge w:val="restart"/>
            <w:tcBorders>
              <w:top w:val="double" w:color="auto" w:sz="4" w:space="0"/>
              <w:left w:val="double" w:color="auto" w:sz="4"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ind w:left="198" w:hanging="198" w:hangingChars="94"/>
              <w:jc w:val="center"/>
              <w:rPr>
                <w:rFonts w:hint="eastAsia" w:ascii="宋体" w:hAnsi="宋体" w:eastAsia="宋体" w:cs="宋体"/>
                <w:b/>
                <w:szCs w:val="21"/>
              </w:rPr>
            </w:pPr>
            <w:r>
              <w:rPr>
                <w:rFonts w:hint="eastAsia" w:ascii="宋体" w:hAnsi="宋体" w:eastAsia="宋体" w:cs="宋体"/>
                <w:b/>
                <w:szCs w:val="21"/>
              </w:rPr>
              <w:t>货物名称</w:t>
            </w:r>
          </w:p>
        </w:tc>
        <w:tc>
          <w:tcPr>
            <w:tcW w:w="1110" w:type="dxa"/>
            <w:vMerge w:val="restart"/>
            <w:tcBorders>
              <w:top w:val="double" w:color="auto" w:sz="4" w:space="0"/>
              <w:left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14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数量</w:t>
            </w:r>
          </w:p>
        </w:tc>
        <w:tc>
          <w:tcPr>
            <w:tcW w:w="1530" w:type="dxa"/>
            <w:gridSpan w:val="2"/>
            <w:tcBorders>
              <w:top w:val="doub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价格</w:t>
            </w:r>
          </w:p>
        </w:tc>
        <w:tc>
          <w:tcPr>
            <w:tcW w:w="1215" w:type="dxa"/>
            <w:vMerge w:val="restart"/>
            <w:tcBorders>
              <w:top w:val="double" w:color="auto" w:sz="4" w:space="0"/>
              <w:left w:val="single" w:color="000000" w:sz="6" w:space="0"/>
              <w:right w:val="double" w:color="auto" w:sz="4" w:space="0"/>
            </w:tcBorders>
            <w:noWrap/>
            <w:vAlign w:val="center"/>
          </w:tcPr>
          <w:p>
            <w:pPr>
              <w:tabs>
                <w:tab w:val="left" w:pos="572"/>
              </w:tabs>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7" w:hRule="atLeast"/>
          <w:jc w:val="center"/>
        </w:trPr>
        <w:tc>
          <w:tcPr>
            <w:tcW w:w="690" w:type="dxa"/>
            <w:vMerge w:val="continue"/>
            <w:tcBorders>
              <w:left w:val="double" w:color="auto" w:sz="4"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1110" w:type="dxa"/>
            <w:vMerge w:val="continue"/>
            <w:tcBorders>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140" w:type="dxa"/>
            <w:vMerge w:val="continue"/>
            <w:tcBorders>
              <w:left w:val="single" w:color="000000" w:sz="6"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825" w:type="dxa"/>
            <w:tcBorders>
              <w:top w:val="single" w:color="auto" w:sz="4" w:space="0"/>
              <w:left w:val="single" w:color="000000" w:sz="6" w:space="0"/>
              <w:bottom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单价</w:t>
            </w: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合计</w:t>
            </w: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1</w:t>
            </w:r>
          </w:p>
        </w:tc>
        <w:tc>
          <w:tcPr>
            <w:tcW w:w="1020" w:type="dxa"/>
            <w:tcBorders>
              <w:top w:val="single" w:color="auto" w:sz="4"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auto" w:sz="4"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2</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restart"/>
            <w:tcBorders>
              <w:top w:val="single" w:color="auto" w:sz="4" w:space="0"/>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restart"/>
            <w:tcBorders>
              <w:top w:val="single" w:color="auto" w:sz="4" w:space="0"/>
              <w:left w:val="single" w:color="000000" w:sz="6"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doub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double" w:color="auto" w:sz="4"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doub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restart"/>
            <w:tcBorders>
              <w:top w:val="double" w:color="auto" w:sz="4" w:space="0"/>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restart"/>
            <w:tcBorders>
              <w:top w:val="double" w:color="auto" w:sz="4" w:space="0"/>
              <w:left w:val="single" w:color="000000" w:sz="6" w:space="0"/>
              <w:right w:val="double" w:color="auto" w:sz="4" w:space="0"/>
            </w:tcBorders>
            <w:noWrap/>
            <w:vAlign w:val="center"/>
          </w:tcPr>
          <w:p>
            <w:pPr>
              <w:adjustRightInd w:val="0"/>
              <w:snapToGrid w:val="0"/>
              <w:spacing w:line="400" w:lineRule="exact"/>
              <w:ind w:left="907" w:hanging="907"/>
              <w:jc w:val="center"/>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rPr>
                <w:rFonts w:hint="eastAsia" w:ascii="宋体" w:hAnsi="宋体" w:eastAsia="宋体" w:cs="宋体"/>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40" w:type="dxa"/>
            <w:tcBorders>
              <w:top w:val="single" w:color="000000" w:sz="6" w:space="0"/>
              <w:left w:val="single" w:color="auto" w:sz="4" w:space="0"/>
              <w:bottom w:val="single" w:color="000000" w:sz="6" w:space="0"/>
              <w:right w:val="single" w:color="000000" w:sz="6" w:space="0"/>
            </w:tcBorders>
            <w:noWrap/>
          </w:tcPr>
          <w:p>
            <w:pPr>
              <w:adjustRightInd w:val="0"/>
              <w:snapToGrid w:val="0"/>
              <w:spacing w:line="400" w:lineRule="exact"/>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szCs w:val="21"/>
              </w:rPr>
            </w:pPr>
          </w:p>
        </w:tc>
        <w:tc>
          <w:tcPr>
            <w:tcW w:w="705" w:type="dxa"/>
            <w:vMerge w:val="continue"/>
            <w:tcBorders>
              <w:left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1710" w:type="dxa"/>
            <w:gridSpan w:val="2"/>
            <w:tcBorders>
              <w:top w:val="single" w:color="000000" w:sz="6" w:space="0"/>
              <w:left w:val="double" w:color="auto" w:sz="4" w:space="0"/>
              <w:bottom w:val="single" w:color="000000" w:sz="6" w:space="0"/>
              <w:right w:val="single" w:color="000000" w:sz="6" w:space="0"/>
            </w:tcBorders>
            <w:noWrap/>
            <w:vAlign w:val="center"/>
          </w:tcPr>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投标总价（小写）：</w:t>
            </w:r>
          </w:p>
        </w:tc>
        <w:tc>
          <w:tcPr>
            <w:tcW w:w="4995" w:type="dxa"/>
            <w:gridSpan w:val="5"/>
            <w:tcBorders>
              <w:top w:val="single" w:color="000000" w:sz="6" w:space="0"/>
              <w:left w:val="single" w:color="auto" w:sz="4" w:space="0"/>
              <w:bottom w:val="single" w:color="000000" w:sz="6" w:space="0"/>
              <w:right w:val="double" w:color="auto" w:sz="4" w:space="0"/>
            </w:tcBorders>
            <w:noWrap/>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1710" w:type="dxa"/>
            <w:gridSpan w:val="2"/>
            <w:tcBorders>
              <w:top w:val="single" w:color="000000" w:sz="6" w:space="0"/>
              <w:left w:val="doub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r>
              <w:rPr>
                <w:rFonts w:hint="eastAsia" w:ascii="宋体" w:hAnsi="宋体" w:eastAsia="宋体" w:cs="宋体"/>
                <w:szCs w:val="21"/>
                <w:lang w:val="en-US" w:eastAsia="zh-CN"/>
              </w:rPr>
              <w:t>投标总价（大写）：</w:t>
            </w:r>
          </w:p>
        </w:tc>
        <w:tc>
          <w:tcPr>
            <w:tcW w:w="4995" w:type="dxa"/>
            <w:gridSpan w:val="5"/>
            <w:tcBorders>
              <w:top w:val="single" w:color="000000" w:sz="6" w:space="0"/>
              <w:left w:val="single" w:color="auto" w:sz="4" w:space="0"/>
              <w:bottom w:val="single" w:color="000000" w:sz="6" w:space="0"/>
              <w:right w:val="double" w:color="auto" w:sz="4" w:space="0"/>
            </w:tcBorders>
            <w:noWrap/>
          </w:tcPr>
          <w:p>
            <w:pPr>
              <w:spacing w:line="400" w:lineRule="exact"/>
              <w:rPr>
                <w:rFonts w:hint="eastAsia" w:ascii="宋体" w:hAnsi="宋体" w:eastAsia="宋体" w:cs="宋体"/>
                <w:szCs w:val="21"/>
              </w:rPr>
            </w:pPr>
          </w:p>
        </w:tc>
      </w:tr>
    </w:tbl>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法定代表人或其授权的代理人(签字)：</w:t>
      </w:r>
    </w:p>
    <w:p>
      <w:pPr>
        <w:spacing w:line="400" w:lineRule="exact"/>
        <w:rPr>
          <w:rFonts w:hint="eastAsia" w:ascii="宋体" w:hAnsi="宋体" w:eastAsia="宋体" w:cs="宋体"/>
        </w:rPr>
      </w:pPr>
      <w:r>
        <w:rPr>
          <w:rFonts w:hint="eastAsia" w:ascii="宋体" w:hAnsi="宋体" w:eastAsia="宋体" w:cs="宋体"/>
          <w:szCs w:val="21"/>
        </w:rPr>
        <w:t>日期：   年   月   日</w:t>
      </w:r>
    </w:p>
    <w:p>
      <w:pPr>
        <w:adjustRightInd w:val="0"/>
        <w:snapToGrid w:val="0"/>
        <w:spacing w:line="400" w:lineRule="exact"/>
        <w:ind w:left="-88" w:leftChars="-42"/>
        <w:rPr>
          <w:rFonts w:hint="eastAsia" w:ascii="宋体" w:hAnsi="宋体" w:eastAsia="宋体" w:cs="宋体"/>
          <w:szCs w:val="21"/>
        </w:rPr>
      </w:pPr>
      <w:bookmarkStart w:id="198" w:name="_Toc4018"/>
      <w:r>
        <w:rPr>
          <w:rFonts w:hint="eastAsia" w:ascii="宋体" w:hAnsi="宋体" w:eastAsia="宋体" w:cs="宋体"/>
          <w:b/>
          <w:szCs w:val="21"/>
        </w:rPr>
        <w:t>备注：</w:t>
      </w:r>
      <w:r>
        <w:rPr>
          <w:rFonts w:hint="eastAsia" w:ascii="宋体" w:hAnsi="宋体" w:eastAsia="宋体" w:cs="宋体"/>
          <w:szCs w:val="21"/>
        </w:rPr>
        <w:t>（1）报价指完成供货、验收合格所需的各种费用及必要的保险费用和各项税金等所有费用的总和。包括但不限于：安装、随机零配件、标配工具、运输保险、质保期服务、各项税费等需要的一切费用及合同实施过程中不可预见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（2）单价应包括必不可少的部件、标准备件等费用。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（3）如果单价与总价不符时，以单价为准，并修正总价。</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（4） 表格长度可根据需要自行调整，表中所列内容为必须填写项目，供应商可根据自身情况增加内容。</w:t>
      </w:r>
    </w:p>
    <w:p>
      <w:pPr>
        <w:adjustRightInd w:val="0"/>
        <w:snapToGrid w:val="0"/>
        <w:spacing w:line="400" w:lineRule="exact"/>
        <w:ind w:left="-88" w:leftChars="-42"/>
        <w:rPr>
          <w:rFonts w:hint="eastAsia" w:ascii="宋体" w:hAnsi="宋体" w:eastAsia="宋体" w:cs="宋体"/>
          <w:szCs w:val="21"/>
        </w:rPr>
        <w:sectPr>
          <w:pgSz w:w="11906" w:h="16838"/>
          <w:pgMar w:top="1418" w:right="1134" w:bottom="1134" w:left="1417" w:header="936" w:footer="720" w:gutter="0"/>
          <w:cols w:space="720" w:num="1"/>
          <w:docGrid w:linePitch="331" w:charSpace="0"/>
        </w:sectPr>
      </w:pPr>
      <w:r>
        <w:rPr>
          <w:rFonts w:hint="eastAsia" w:ascii="宋体" w:hAnsi="宋体" w:eastAsia="宋体" w:cs="宋体"/>
          <w:szCs w:val="21"/>
        </w:rPr>
        <w:t>（5）本表可用附表形式把需求一览表中所有产品生产厂商、规格型号、单价等内容进行详细说明。</w:t>
      </w:r>
    </w:p>
    <w:p>
      <w:pPr>
        <w:pStyle w:val="3"/>
        <w:bidi w:val="0"/>
        <w:jc w:val="center"/>
        <w:rPr>
          <w:rFonts w:hint="default" w:ascii="Times New Roman" w:hAnsi="Times New Roman" w:eastAsia="宋体" w:cs="Times New Roman"/>
          <w:lang w:val="en-US" w:eastAsia="zh-CN"/>
        </w:rPr>
      </w:pPr>
      <w:bookmarkStart w:id="199" w:name="_Toc1659"/>
      <w:r>
        <w:rPr>
          <w:rFonts w:hint="default" w:ascii="Times New Roman" w:hAnsi="Times New Roman" w:eastAsia="宋体" w:cs="Times New Roman"/>
          <w:lang w:val="en-US" w:eastAsia="zh-CN"/>
        </w:rPr>
        <w:t xml:space="preserve">4.4 </w:t>
      </w:r>
      <w:r>
        <w:rPr>
          <w:rFonts w:hint="eastAsia" w:ascii="Times New Roman" w:hAnsi="Times New Roman" w:eastAsia="宋体" w:cs="Times New Roman"/>
          <w:lang w:val="en-US" w:eastAsia="zh-CN"/>
        </w:rPr>
        <w:t>资格证明文件</w:t>
      </w:r>
      <w:bookmarkEnd w:id="199"/>
    </w:p>
    <w:bookmarkEnd w:id="198"/>
    <w:p>
      <w:pPr>
        <w:pStyle w:val="4"/>
        <w:bidi w:val="0"/>
        <w:rPr>
          <w:rFonts w:hint="eastAsia" w:ascii="宋体" w:hAnsi="宋体" w:eastAsia="宋体" w:cs="宋体"/>
          <w:b/>
          <w:bCs/>
          <w:szCs w:val="28"/>
        </w:rPr>
      </w:pPr>
      <w:bookmarkStart w:id="200" w:name="_Toc1948"/>
      <w:r>
        <w:rPr>
          <w:rFonts w:hint="default" w:ascii="Times New Roman" w:hAnsi="Times New Roman" w:eastAsia="宋体" w:cs="Times New Roman"/>
          <w:lang w:val="en-US" w:eastAsia="zh-CN"/>
        </w:rPr>
        <w:t xml:space="preserve">4.4.1 </w:t>
      </w:r>
      <w:r>
        <w:rPr>
          <w:rFonts w:hint="default" w:ascii="Times New Roman" w:hAnsi="Times New Roman" w:eastAsia="宋体" w:cs="Times New Roman"/>
        </w:rPr>
        <w:t>营业执照</w:t>
      </w:r>
      <w:bookmarkEnd w:id="200"/>
    </w:p>
    <w:p>
      <w:pPr>
        <w:spacing w:line="360" w:lineRule="auto"/>
        <w:jc w:val="center"/>
        <w:rPr>
          <w:rFonts w:hint="eastAsia" w:ascii="宋体" w:hAnsi="宋体" w:eastAsia="宋体" w:cs="宋体"/>
          <w:sz w:val="24"/>
        </w:rPr>
      </w:pPr>
      <w:r>
        <w:rPr>
          <w:rFonts w:hint="eastAsia" w:ascii="宋体" w:hAnsi="宋体" w:eastAsia="宋体" w:cs="宋体"/>
          <w:b/>
          <w:bCs/>
          <w:sz w:val="28"/>
          <w:szCs w:val="28"/>
        </w:rPr>
        <w:t>（一）营业执照</w:t>
      </w:r>
    </w:p>
    <w:p>
      <w:pPr>
        <w:spacing w:line="360" w:lineRule="auto"/>
        <w:ind w:firstLine="990" w:firstLineChars="450"/>
        <w:rPr>
          <w:rFonts w:hint="eastAsia" w:ascii="宋体" w:hAnsi="宋体" w:eastAsia="宋体" w:cs="宋体"/>
          <w:sz w:val="24"/>
        </w:rPr>
      </w:pPr>
      <w:r>
        <w:rPr>
          <w:rFonts w:hint="eastAsia" w:ascii="宋体" w:hAnsi="宋体" w:eastAsia="宋体" w:cs="宋体"/>
          <w:sz w:val="22"/>
        </w:rPr>
        <w:t>供应商</w:t>
      </w:r>
      <w:r>
        <w:rPr>
          <w:rFonts w:hint="eastAsia" w:ascii="宋体" w:hAnsi="宋体" w:eastAsia="宋体" w:cs="宋体"/>
          <w:sz w:val="24"/>
        </w:rPr>
        <w:t>有效的营业执照副本内页：要求清晰反映企业法人经营范围。</w:t>
      </w: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ind w:left="420"/>
        <w:jc w:val="center"/>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1"/>
          <w:szCs w:val="20"/>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bookmarkStart w:id="201" w:name="_Toc2435_WPSOffice_Level3"/>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eastAsia" w:ascii="宋体" w:hAnsi="宋体" w:eastAsia="宋体" w:cs="宋体"/>
          <w:b/>
          <w:bCs/>
          <w:kern w:val="0"/>
          <w:sz w:val="24"/>
          <w:szCs w:val="24"/>
          <w:lang w:val="en-US" w:eastAsia="zh-CN" w:bidi="ar-SA"/>
        </w:rPr>
      </w:pPr>
    </w:p>
    <w:p>
      <w:pPr>
        <w:widowControl w:val="0"/>
        <w:tabs>
          <w:tab w:val="left" w:pos="360"/>
          <w:tab w:val="left" w:pos="900"/>
          <w:tab w:val="left" w:pos="1588"/>
        </w:tabs>
        <w:adjustRightInd w:val="0"/>
        <w:spacing w:before="120" w:line="360" w:lineRule="auto"/>
        <w:jc w:val="both"/>
        <w:textAlignment w:val="baseline"/>
        <w:outlineLvl w:val="2"/>
        <w:rPr>
          <w:rFonts w:hint="eastAsia" w:ascii="宋体" w:hAnsi="宋体" w:eastAsia="宋体" w:cs="宋体"/>
          <w:b/>
          <w:bCs/>
          <w:kern w:val="0"/>
          <w:sz w:val="24"/>
          <w:szCs w:val="24"/>
          <w:lang w:val="en-US" w:eastAsia="zh-CN" w:bidi="ar-SA"/>
        </w:rPr>
        <w:sectPr>
          <w:pgSz w:w="11906" w:h="16838"/>
          <w:pgMar w:top="1440" w:right="1588" w:bottom="1440" w:left="1588" w:header="851" w:footer="992" w:gutter="0"/>
          <w:cols w:space="720" w:num="1"/>
          <w:docGrid w:type="lines" w:linePitch="312" w:charSpace="0"/>
        </w:sectPr>
      </w:pPr>
    </w:p>
    <w:p>
      <w:pPr>
        <w:widowControl w:val="0"/>
        <w:tabs>
          <w:tab w:val="left" w:pos="360"/>
          <w:tab w:val="left" w:pos="900"/>
          <w:tab w:val="left" w:pos="1588"/>
        </w:tabs>
        <w:adjustRightInd w:val="0"/>
        <w:spacing w:before="120" w:line="360" w:lineRule="auto"/>
        <w:jc w:val="both"/>
        <w:textAlignment w:val="baseline"/>
        <w:outlineLvl w:val="2"/>
        <w:rPr>
          <w:rFonts w:hint="eastAsia" w:ascii="宋体" w:hAnsi="宋体" w:eastAsia="宋体" w:cs="宋体"/>
          <w:b/>
          <w:bCs/>
          <w:kern w:val="0"/>
          <w:sz w:val="24"/>
          <w:szCs w:val="24"/>
          <w:lang w:val="en-US" w:eastAsia="zh-CN" w:bidi="ar-SA"/>
        </w:rPr>
      </w:pPr>
    </w:p>
    <w:p>
      <w:pPr>
        <w:pStyle w:val="4"/>
        <w:bidi w:val="0"/>
        <w:rPr>
          <w:rFonts w:hint="default" w:ascii="Times New Roman" w:hAnsi="Times New Roman" w:eastAsia="宋体" w:cs="Times New Roman"/>
          <w:szCs w:val="24"/>
          <w:lang w:val="en-US" w:eastAsia="zh-CN"/>
        </w:rPr>
      </w:pPr>
      <w:bookmarkStart w:id="202" w:name="_Toc12911"/>
      <w:r>
        <w:rPr>
          <w:rFonts w:hint="default" w:ascii="Times New Roman" w:hAnsi="Times New Roman" w:eastAsia="宋体" w:cs="Times New Roman"/>
          <w:lang w:val="en-US" w:eastAsia="zh-CN"/>
        </w:rPr>
        <w:t>4.4.2 法定代表人资格证明书</w:t>
      </w:r>
      <w:bookmarkEnd w:id="201"/>
      <w:bookmarkEnd w:id="202"/>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法定代表人资格证明书</w:t>
      </w:r>
    </w:p>
    <w:p>
      <w:pPr>
        <w:spacing w:line="360" w:lineRule="auto"/>
        <w:jc w:val="center"/>
        <w:rPr>
          <w:rFonts w:hint="eastAsia" w:ascii="宋体" w:hAnsi="宋体" w:eastAsia="宋体" w:cs="宋体"/>
          <w:b/>
          <w:sz w:val="30"/>
          <w:szCs w:val="30"/>
        </w:rPr>
      </w:pPr>
    </w:p>
    <w:p>
      <w:pPr>
        <w:spacing w:line="360" w:lineRule="auto"/>
        <w:rPr>
          <w:rFonts w:hint="eastAsia" w:ascii="宋体" w:hAnsi="宋体" w:eastAsia="宋体" w:cs="宋体"/>
          <w:szCs w:val="21"/>
          <w:u w:val="single"/>
        </w:rPr>
      </w:pPr>
      <w:r>
        <w:rPr>
          <w:rFonts w:hint="eastAsia" w:ascii="宋体" w:hAnsi="宋体" w:eastAsia="宋体" w:cs="宋体"/>
          <w:szCs w:val="21"/>
        </w:rPr>
        <w:t>供应商全称：</w:t>
      </w:r>
    </w:p>
    <w:p>
      <w:pPr>
        <w:spacing w:line="360" w:lineRule="auto"/>
        <w:rPr>
          <w:rFonts w:hint="eastAsia" w:ascii="宋体" w:hAnsi="宋体" w:eastAsia="宋体" w:cs="宋体"/>
          <w:szCs w:val="21"/>
          <w:u w:val="single"/>
        </w:rPr>
      </w:pPr>
      <w:r>
        <w:rPr>
          <w:rFonts w:hint="eastAsia" w:ascii="宋体" w:hAnsi="宋体" w:eastAsia="宋体" w:cs="宋体"/>
          <w:szCs w:val="21"/>
        </w:rPr>
        <w:t>单位性质：</w:t>
      </w:r>
    </w:p>
    <w:p>
      <w:pPr>
        <w:spacing w:line="360" w:lineRule="auto"/>
        <w:rPr>
          <w:rFonts w:hint="eastAsia" w:ascii="宋体" w:hAnsi="宋体" w:eastAsia="宋体" w:cs="宋体"/>
          <w:szCs w:val="21"/>
        </w:rPr>
      </w:pPr>
      <w:r>
        <w:rPr>
          <w:rFonts w:hint="eastAsia" w:ascii="宋体" w:hAnsi="宋体" w:eastAsia="宋体" w:cs="宋体"/>
          <w:szCs w:val="21"/>
        </w:rPr>
        <w:t>成立时间：年月日</w:t>
      </w:r>
    </w:p>
    <w:p>
      <w:pPr>
        <w:spacing w:line="360" w:lineRule="auto"/>
        <w:rPr>
          <w:rFonts w:hint="eastAsia" w:ascii="宋体" w:hAnsi="宋体" w:eastAsia="宋体" w:cs="宋体"/>
          <w:szCs w:val="21"/>
          <w:u w:val="single"/>
        </w:rPr>
      </w:pPr>
      <w:r>
        <w:rPr>
          <w:rFonts w:hint="eastAsia" w:ascii="宋体" w:hAnsi="宋体" w:eastAsia="宋体" w:cs="宋体"/>
          <w:szCs w:val="21"/>
        </w:rPr>
        <w:t>经营期限：</w:t>
      </w:r>
    </w:p>
    <w:p>
      <w:pPr>
        <w:spacing w:line="360" w:lineRule="auto"/>
        <w:rPr>
          <w:rFonts w:hint="eastAsia" w:ascii="宋体" w:hAnsi="宋体" w:eastAsia="宋体" w:cs="宋体"/>
          <w:szCs w:val="21"/>
          <w:u w:val="single"/>
        </w:rPr>
      </w:pPr>
      <w:r>
        <w:rPr>
          <w:rFonts w:hint="eastAsia" w:ascii="宋体" w:hAnsi="宋体" w:eastAsia="宋体" w:cs="宋体"/>
          <w:szCs w:val="21"/>
        </w:rPr>
        <w:t>姓名：性别：年龄：职务：</w:t>
      </w:r>
    </w:p>
    <w:p>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（供应商全称）</w:t>
      </w:r>
      <w:r>
        <w:rPr>
          <w:rFonts w:hint="eastAsia" w:ascii="宋体" w:hAnsi="宋体" w:eastAsia="宋体" w:cs="宋体"/>
          <w:szCs w:val="21"/>
        </w:rPr>
        <w:t>的法定代表人。</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tbl>
      <w:tblPr>
        <w:tblStyle w:val="11"/>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156" w:beforeLines="50" w:line="360" w:lineRule="auto"/>
              <w:jc w:val="center"/>
              <w:rPr>
                <w:rFonts w:hint="eastAsia" w:ascii="宋体" w:hAnsi="宋体" w:eastAsia="宋体" w:cs="宋体"/>
                <w:szCs w:val="21"/>
              </w:rPr>
            </w:pPr>
            <w:r>
              <w:rPr>
                <w:rFonts w:hint="eastAsia" w:ascii="宋体" w:hAnsi="宋体" w:eastAsia="宋体" w:cs="宋体"/>
                <w:szCs w:val="21"/>
              </w:rPr>
              <w:t>法定代表人身份证复印件</w:t>
            </w:r>
          </w:p>
        </w:tc>
      </w:tr>
    </w:tbl>
    <w:p>
      <w:pPr>
        <w:spacing w:line="360" w:lineRule="auto"/>
        <w:rPr>
          <w:rFonts w:hint="eastAsia" w:ascii="宋体" w:hAnsi="宋体" w:eastAsia="宋体" w:cs="宋体"/>
          <w:szCs w:val="21"/>
        </w:rPr>
      </w:pPr>
      <w:r>
        <w:rPr>
          <w:rFonts w:hint="eastAsia" w:ascii="宋体" w:hAnsi="宋体" w:eastAsia="宋体" w:cs="宋体"/>
          <w:szCs w:val="21"/>
        </w:rPr>
        <w:t>法定代表人身份证复印件（正、反面）</w:t>
      </w:r>
    </w:p>
    <w:p>
      <w:pPr>
        <w:spacing w:line="360" w:lineRule="auto"/>
        <w:rPr>
          <w:rFonts w:hint="eastAsia" w:ascii="宋体" w:hAnsi="宋体" w:eastAsia="宋体" w:cs="宋体"/>
          <w:szCs w:val="21"/>
        </w:rPr>
      </w:pPr>
    </w:p>
    <w:p>
      <w:pPr>
        <w:spacing w:line="360" w:lineRule="auto"/>
        <w:ind w:left="3780" w:leftChars="1800"/>
        <w:rPr>
          <w:rFonts w:hint="eastAsia" w:ascii="宋体" w:hAnsi="宋体" w:eastAsia="宋体" w:cs="宋体"/>
          <w:szCs w:val="21"/>
        </w:rPr>
      </w:pPr>
      <w:r>
        <w:rPr>
          <w:rFonts w:hint="eastAsia" w:ascii="宋体" w:hAnsi="宋体" w:eastAsia="宋体" w:cs="宋体"/>
          <w:szCs w:val="21"/>
        </w:rPr>
        <w:t>供应商：（盖单位公章）</w:t>
      </w:r>
    </w:p>
    <w:p>
      <w:pPr>
        <w:spacing w:line="360" w:lineRule="auto"/>
        <w:ind w:left="3780" w:leftChars="1800"/>
        <w:rPr>
          <w:rFonts w:hint="eastAsia" w:ascii="宋体" w:hAnsi="宋体" w:eastAsia="宋体" w:cs="宋体"/>
          <w:szCs w:val="21"/>
        </w:rPr>
      </w:pPr>
    </w:p>
    <w:p>
      <w:pPr>
        <w:spacing w:line="360" w:lineRule="auto"/>
        <w:ind w:left="3780" w:leftChars="1800" w:firstLine="1155" w:firstLineChars="550"/>
        <w:rPr>
          <w:rFonts w:hint="eastAsia" w:ascii="宋体" w:hAnsi="宋体" w:eastAsia="宋体" w:cs="宋体"/>
          <w:szCs w:val="21"/>
        </w:rPr>
      </w:pPr>
      <w:r>
        <w:rPr>
          <w:rFonts w:hint="eastAsia" w:ascii="宋体" w:hAnsi="宋体" w:eastAsia="宋体" w:cs="宋体"/>
          <w:szCs w:val="21"/>
        </w:rPr>
        <w:t>年   月    日</w:t>
      </w:r>
    </w:p>
    <w:p>
      <w:pPr>
        <w:spacing w:line="360" w:lineRule="auto"/>
        <w:rPr>
          <w:rFonts w:hint="eastAsia" w:ascii="宋体" w:hAnsi="宋体" w:eastAsia="宋体" w:cs="宋体"/>
          <w:szCs w:val="21"/>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default" w:ascii="Times New Roman" w:hAnsi="Times New Roman" w:eastAsia="宋体" w:cs="Times New Roman"/>
          <w:sz w:val="24"/>
          <w:szCs w:val="24"/>
          <w:lang w:val="en-US" w:eastAsia="zh-CN"/>
        </w:rPr>
      </w:pPr>
      <w:r>
        <w:rPr>
          <w:rFonts w:hint="eastAsia" w:ascii="宋体" w:hAnsi="宋体" w:eastAsia="宋体" w:cs="宋体"/>
          <w:b w:val="0"/>
          <w:bCs/>
          <w:kern w:val="0"/>
          <w:sz w:val="32"/>
          <w:szCs w:val="21"/>
          <w:lang w:val="en-US" w:eastAsia="zh-CN" w:bidi="ar-SA"/>
        </w:rPr>
        <w:br w:type="page"/>
      </w:r>
    </w:p>
    <w:p>
      <w:pPr>
        <w:pStyle w:val="4"/>
        <w:bidi w:val="0"/>
        <w:rPr>
          <w:rFonts w:hint="default" w:ascii="Times New Roman" w:hAnsi="Times New Roman" w:eastAsia="宋体" w:cs="Times New Roman"/>
          <w:b w:val="0"/>
          <w:bCs w:val="0"/>
          <w:szCs w:val="24"/>
          <w:lang w:val="en-US" w:eastAsia="zh-CN"/>
        </w:rPr>
      </w:pPr>
      <w:bookmarkStart w:id="203" w:name="_Toc9216"/>
      <w:r>
        <w:rPr>
          <w:rFonts w:hint="eastAsia" w:ascii="宋体" w:hAnsi="宋体" w:eastAsia="宋体" w:cs="宋体"/>
          <w:lang w:val="en-US" w:eastAsia="zh-CN"/>
        </w:rPr>
        <w:t>4.4.3 法定代表人授权委托书</w:t>
      </w:r>
      <w:bookmarkEnd w:id="203"/>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szCs w:val="21"/>
        </w:rPr>
        <w:t>供应商</w:t>
      </w:r>
      <w:r>
        <w:rPr>
          <w:rFonts w:hint="eastAsia" w:ascii="宋体" w:hAnsi="宋体" w:eastAsia="宋体" w:cs="宋体"/>
          <w:kern w:val="0"/>
          <w:szCs w:val="21"/>
        </w:rPr>
        <w:t>名称）的法定代表人，现授权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项目名称、政府采购编号）谈判文件、签订合同和处理有关事宜，其法律后果由我方承担。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pPr>
        <w:adjustRightInd w:val="0"/>
        <w:snapToGrid w:val="0"/>
        <w:spacing w:before="156" w:beforeLines="50" w:line="360" w:lineRule="auto"/>
        <w:ind w:firstLine="435"/>
        <w:rPr>
          <w:rFonts w:hint="eastAsia" w:ascii="宋体" w:hAnsi="宋体" w:eastAsia="宋体" w:cs="宋体"/>
          <w:kern w:val="0"/>
          <w:szCs w:val="21"/>
        </w:rPr>
      </w:pPr>
      <w:r>
        <w:rPr>
          <w:rFonts w:hint="eastAsia" w:ascii="宋体" w:hAnsi="宋体" w:eastAsia="宋体" w:cs="宋体"/>
          <w:kern w:val="0"/>
          <w:szCs w:val="21"/>
        </w:rPr>
        <w:t>代理人无转委托权。</w:t>
      </w:r>
    </w:p>
    <w:p>
      <w:pPr>
        <w:adjustRightInd w:val="0"/>
        <w:snapToGrid w:val="0"/>
        <w:spacing w:before="156" w:beforeLines="50" w:line="360" w:lineRule="auto"/>
        <w:ind w:firstLine="435"/>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pPr>
        <w:adjustRightInd w:val="0"/>
        <w:snapToGrid w:val="0"/>
        <w:spacing w:before="156" w:beforeLines="50" w:line="360" w:lineRule="auto"/>
        <w:ind w:firstLine="420" w:firstLineChars="200"/>
        <w:rPr>
          <w:rFonts w:hint="eastAsia" w:ascii="宋体" w:hAnsi="宋体" w:eastAsia="宋体" w:cs="宋体"/>
          <w:szCs w:val="21"/>
        </w:rPr>
      </w:pPr>
    </w:p>
    <w:tbl>
      <w:tblPr>
        <w:tblStyle w:val="11"/>
        <w:tblW w:w="8528" w:type="dxa"/>
        <w:tblInd w:w="0" w:type="dxa"/>
        <w:tblLayout w:type="fixed"/>
        <w:tblCellMar>
          <w:top w:w="0" w:type="dxa"/>
          <w:left w:w="108" w:type="dxa"/>
          <w:bottom w:w="0" w:type="dxa"/>
          <w:right w:w="108" w:type="dxa"/>
        </w:tblCellMar>
      </w:tblPr>
      <w:tblGrid>
        <w:gridCol w:w="8528"/>
      </w:tblGrid>
      <w:tr>
        <w:trPr>
          <w:trHeight w:val="2526" w:hRule="atLeast"/>
        </w:trPr>
        <w:tc>
          <w:tcPr>
            <w:tcW w:w="8528" w:type="dxa"/>
            <w:noWrap/>
            <w:vAlign w:val="center"/>
          </w:tcPr>
          <w:p>
            <w:pPr>
              <w:adjustRightInd w:val="0"/>
              <w:snapToGrid w:val="0"/>
              <w:spacing w:before="156" w:beforeLines="50" w:line="360" w:lineRule="auto"/>
              <w:jc w:val="center"/>
              <w:rPr>
                <w:rFonts w:hint="eastAsia" w:ascii="宋体" w:hAnsi="宋体" w:eastAsia="宋体" w:cs="宋体"/>
                <w:szCs w:val="21"/>
              </w:rPr>
            </w:pPr>
            <w:r>
              <w:rPr>
                <w:rFonts w:hint="eastAsia" w:ascii="宋体" w:hAnsi="宋体" w:eastAsia="宋体" w:cs="宋体"/>
                <w:szCs w:val="21"/>
              </w:rPr>
              <w:t>委托代理人身份证复印件</w:t>
            </w:r>
          </w:p>
        </w:tc>
      </w:tr>
    </w:tbl>
    <w:p>
      <w:pPr>
        <w:adjustRightInd w:val="0"/>
        <w:snapToGrid w:val="0"/>
        <w:spacing w:before="156" w:beforeLines="50" w:line="360" w:lineRule="auto"/>
        <w:ind w:firstLine="420" w:firstLineChars="200"/>
        <w:rPr>
          <w:rFonts w:hint="eastAsia" w:ascii="宋体" w:hAnsi="宋体" w:eastAsia="宋体" w:cs="宋体"/>
          <w:szCs w:val="21"/>
        </w:rPr>
      </w:pPr>
    </w:p>
    <w:p>
      <w:pPr>
        <w:adjustRightInd w:val="0"/>
        <w:snapToGrid w:val="0"/>
        <w:spacing w:before="156" w:beforeLines="50" w:line="360" w:lineRule="auto"/>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法定代表人（签字）：</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身份证号码：</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联系电话：</w:t>
      </w:r>
    </w:p>
    <w:p>
      <w:pPr>
        <w:adjustRightInd w:val="0"/>
        <w:snapToGrid w:val="0"/>
        <w:spacing w:before="156" w:beforeLines="50" w:line="360" w:lineRule="auto"/>
        <w:ind w:right="420"/>
        <w:rPr>
          <w:rFonts w:hint="eastAsia" w:ascii="宋体" w:hAnsi="宋体" w:eastAsia="宋体" w:cs="宋体"/>
          <w:szCs w:val="21"/>
          <w:u w:val="single"/>
        </w:rPr>
      </w:pPr>
      <w:r>
        <w:rPr>
          <w:rFonts w:hint="eastAsia" w:ascii="宋体" w:hAnsi="宋体" w:eastAsia="宋体" w:cs="宋体"/>
          <w:szCs w:val="21"/>
        </w:rPr>
        <w:t>委托代理人（签字）：</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职务：</w:t>
      </w: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身份证号码：</w:t>
      </w:r>
    </w:p>
    <w:p>
      <w:pPr>
        <w:widowControl w:val="0"/>
        <w:jc w:val="both"/>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联系电话：</w:t>
      </w:r>
    </w:p>
    <w:p>
      <w:pPr>
        <w:widowControl w:val="0"/>
        <w:jc w:val="both"/>
        <w:rPr>
          <w:rFonts w:hint="eastAsia" w:ascii="宋体" w:hAnsi="宋体" w:eastAsia="宋体" w:cs="宋体"/>
          <w:kern w:val="0"/>
          <w:sz w:val="24"/>
          <w:szCs w:val="21"/>
          <w:lang w:val="en-US" w:eastAsia="zh-CN" w:bidi="ar-SA"/>
        </w:rPr>
      </w:pPr>
    </w:p>
    <w:p>
      <w:pPr>
        <w:adjustRightInd w:val="0"/>
        <w:snapToGrid w:val="0"/>
        <w:spacing w:before="156" w:beforeLines="50" w:line="360" w:lineRule="auto"/>
        <w:ind w:right="420"/>
        <w:rPr>
          <w:rFonts w:hint="eastAsia" w:ascii="宋体" w:hAnsi="宋体" w:eastAsia="宋体" w:cs="宋体"/>
          <w:szCs w:val="21"/>
        </w:rPr>
      </w:pPr>
      <w:r>
        <w:rPr>
          <w:rFonts w:hint="eastAsia" w:ascii="宋体" w:hAnsi="宋体" w:eastAsia="宋体" w:cs="宋体"/>
          <w:szCs w:val="21"/>
        </w:rPr>
        <w:t>委托代理人详细地址：</w:t>
      </w:r>
    </w:p>
    <w:p>
      <w:pPr>
        <w:adjustRightInd w:val="0"/>
        <w:snapToGrid w:val="0"/>
        <w:spacing w:before="156" w:beforeLines="50" w:line="360" w:lineRule="auto"/>
        <w:ind w:right="420"/>
        <w:rPr>
          <w:rFonts w:hint="eastAsia" w:ascii="宋体" w:hAnsi="宋体" w:eastAsia="宋体" w:cs="宋体"/>
          <w:szCs w:val="21"/>
        </w:rPr>
        <w:sectPr>
          <w:pgSz w:w="11906" w:h="16838"/>
          <w:pgMar w:top="1440" w:right="1588" w:bottom="1440" w:left="1588" w:header="851" w:footer="992" w:gutter="0"/>
          <w:cols w:space="720" w:num="1"/>
          <w:docGrid w:type="lines" w:linePitch="312" w:charSpace="0"/>
        </w:sectPr>
      </w:pPr>
      <w:r>
        <w:rPr>
          <w:rFonts w:hint="eastAsia" w:ascii="宋体" w:hAnsi="宋体" w:eastAsia="宋体" w:cs="宋体"/>
          <w:szCs w:val="21"/>
        </w:rPr>
        <w:t xml:space="preserve"> 年   月  日</w:t>
      </w:r>
    </w:p>
    <w:p>
      <w:pPr>
        <w:rPr>
          <w:rFonts w:hint="eastAsia" w:ascii="宋体" w:hAnsi="宋体" w:eastAsia="宋体" w:cs="宋体"/>
        </w:rPr>
      </w:pPr>
    </w:p>
    <w:p>
      <w:pPr>
        <w:pStyle w:val="4"/>
        <w:bidi w:val="0"/>
        <w:rPr>
          <w:rFonts w:hint="default" w:ascii="Times New Roman" w:hAnsi="Times New Roman" w:cs="Times New Roman"/>
          <w:szCs w:val="24"/>
          <w:lang w:val="en-US" w:eastAsia="zh-CN"/>
        </w:rPr>
      </w:pPr>
      <w:bookmarkStart w:id="204" w:name="_Toc28668_WPSOffice_Level3"/>
      <w:bookmarkStart w:id="205" w:name="_Toc17185"/>
      <w:bookmarkStart w:id="206" w:name="_Toc417475049"/>
      <w:bookmarkStart w:id="207" w:name="_Toc417657282"/>
      <w:bookmarkStart w:id="208" w:name="_Toc409775275"/>
      <w:bookmarkStart w:id="209" w:name="_Toc417475050"/>
      <w:r>
        <w:rPr>
          <w:rFonts w:hint="default" w:ascii="Times New Roman" w:hAnsi="Times New Roman" w:eastAsia="宋体" w:cs="Times New Roman"/>
          <w:lang w:val="en-US" w:eastAsia="zh-CN"/>
        </w:rPr>
        <w:t xml:space="preserve">4.4.4 </w:t>
      </w:r>
      <w:bookmarkEnd w:id="204"/>
      <w:r>
        <w:rPr>
          <w:rFonts w:hint="default" w:ascii="Times New Roman" w:hAnsi="Times New Roman" w:eastAsia="宋体" w:cs="Times New Roman"/>
          <w:lang w:val="en-US" w:eastAsia="zh-CN"/>
        </w:rPr>
        <w:t>书面声明</w:t>
      </w:r>
      <w:bookmarkEnd w:id="205"/>
    </w:p>
    <w:p>
      <w:pPr>
        <w:widowControl/>
        <w:spacing w:after="360"/>
        <w:jc w:val="center"/>
        <w:textAlignment w:val="baseline"/>
        <w:rPr>
          <w:rFonts w:ascii="宋体" w:hAnsi="宋体" w:eastAsia="宋体" w:cs="宋体"/>
          <w:kern w:val="0"/>
          <w:sz w:val="24"/>
        </w:rPr>
      </w:pPr>
      <w:r>
        <w:rPr>
          <w:rFonts w:hint="eastAsia" w:ascii="宋体" w:hAnsi="宋体" w:eastAsia="宋体" w:cs="宋体"/>
          <w:b/>
          <w:bCs/>
          <w:kern w:val="0"/>
          <w:sz w:val="28"/>
          <w:szCs w:val="28"/>
        </w:rPr>
        <w:t>书面声明</w:t>
      </w:r>
    </w:p>
    <w:p>
      <w:pPr>
        <w:spacing w:line="360" w:lineRule="auto"/>
        <w:ind w:firstLine="480" w:firstLineChars="200"/>
        <w:rPr>
          <w:rFonts w:hint="eastAsia" w:ascii="宋体" w:hAnsi="宋体"/>
          <w:sz w:val="24"/>
        </w:rPr>
      </w:pPr>
      <w:r>
        <w:rPr>
          <w:rFonts w:hint="eastAsia" w:ascii="宋体" w:hAnsi="宋体"/>
          <w:sz w:val="24"/>
          <w:u w:val="single"/>
        </w:rPr>
        <w:t xml:space="preserve">        供应商全称        </w:t>
      </w:r>
      <w:r>
        <w:rPr>
          <w:rFonts w:hint="eastAsia" w:ascii="宋体" w:hAnsi="宋体"/>
          <w:sz w:val="24"/>
        </w:rPr>
        <w:t>在此声明，我单位参加政府采购活动前3年内未出现因违法经营受到刑事处罚或者责令停产停业、吊销许可证或者执照、较大数额罚款等行政处罚。</w:t>
      </w:r>
    </w:p>
    <w:p>
      <w:pPr>
        <w:widowControl w:val="0"/>
        <w:autoSpaceDE w:val="0"/>
        <w:autoSpaceDN w:val="0"/>
        <w:adjustRightInd w:val="0"/>
        <w:ind w:firstLine="720" w:firstLineChars="300"/>
        <w:rPr>
          <w:rFonts w:hint="eastAsia" w:ascii="宋体" w:hAnsi="Times New Roman" w:eastAsia="宋体" w:cs="宋体"/>
          <w:color w:val="000000"/>
          <w:sz w:val="24"/>
          <w:szCs w:val="24"/>
          <w:lang w:val="en-US" w:eastAsia="zh-CN" w:bidi="ar-SA"/>
        </w:rPr>
      </w:pPr>
      <w:r>
        <w:rPr>
          <w:rFonts w:hint="eastAsia" w:ascii="宋体" w:hAnsi="Times New Roman" w:eastAsia="宋体" w:cs="宋体"/>
          <w:color w:val="000000"/>
          <w:sz w:val="24"/>
          <w:szCs w:val="24"/>
          <w:lang w:val="en-US" w:eastAsia="zh-CN" w:bidi="ar-SA"/>
        </w:rPr>
        <w:t>我单位在投标截止时间前未被列入“信用中国”网（www.creditchina.gov.cn）失信被执行人、重大税收违法案件当事人名单、政府采购严重违法失信行为记录名单及中国政府采购网（www.ccgp.gov.cn）“政府采购严重违法失信行为信息记录”。</w:t>
      </w:r>
    </w:p>
    <w:p>
      <w:pPr>
        <w:spacing w:line="360" w:lineRule="auto"/>
        <w:rPr>
          <w:rFonts w:ascii="宋体" w:hAnsi="宋体"/>
          <w:sz w:val="24"/>
        </w:rPr>
      </w:pPr>
    </w:p>
    <w:p>
      <w:pPr>
        <w:widowControl w:val="0"/>
        <w:autoSpaceDE w:val="0"/>
        <w:autoSpaceDN w:val="0"/>
        <w:adjustRightInd w:val="0"/>
        <w:rPr>
          <w:rFonts w:ascii="宋体" w:hAnsi="Times New Roman" w:eastAsia="宋体" w:cs="宋体"/>
          <w:color w:val="000000"/>
          <w:sz w:val="24"/>
          <w:szCs w:val="24"/>
          <w:lang w:val="en-US" w:eastAsia="zh-CN" w:bidi="ar-SA"/>
        </w:rPr>
      </w:pPr>
    </w:p>
    <w:p>
      <w:pPr>
        <w:spacing w:line="360" w:lineRule="auto"/>
        <w:rPr>
          <w:rFonts w:ascii="宋体"/>
          <w:sz w:val="24"/>
        </w:rPr>
      </w:pPr>
      <w:r>
        <w:rPr>
          <w:rFonts w:hint="eastAsia" w:ascii="宋体"/>
          <w:sz w:val="24"/>
        </w:rPr>
        <w:t>供应商：</w:t>
      </w:r>
      <w:r>
        <w:rPr>
          <w:rFonts w:hint="eastAsia" w:ascii="宋体"/>
          <w:sz w:val="24"/>
          <w:u w:val="single"/>
        </w:rPr>
        <w:t xml:space="preserve">                                 </w:t>
      </w:r>
      <w:r>
        <w:rPr>
          <w:rFonts w:hint="eastAsia" w:ascii="宋体"/>
          <w:sz w:val="24"/>
        </w:rPr>
        <w:t>（盖单位公章）</w:t>
      </w:r>
    </w:p>
    <w:p>
      <w:pPr>
        <w:spacing w:line="360" w:lineRule="auto"/>
        <w:rPr>
          <w:rFonts w:ascii="宋体"/>
          <w:sz w:val="24"/>
        </w:rPr>
      </w:pPr>
      <w:r>
        <w:rPr>
          <w:rFonts w:hint="eastAsia" w:ascii="宋体"/>
          <w:sz w:val="24"/>
        </w:rPr>
        <w:t>法定代表人或其委托代理人：</w:t>
      </w:r>
      <w:r>
        <w:rPr>
          <w:rFonts w:hint="eastAsia" w:ascii="宋体"/>
          <w:sz w:val="24"/>
          <w:u w:val="single"/>
        </w:rPr>
        <w:t xml:space="preserve">                  </w:t>
      </w:r>
      <w:r>
        <w:rPr>
          <w:rFonts w:hint="eastAsia" w:ascii="宋体"/>
          <w:sz w:val="24"/>
        </w:rPr>
        <w:t>（签字或盖章）</w:t>
      </w:r>
    </w:p>
    <w:p>
      <w:pPr>
        <w:spacing w:line="360" w:lineRule="auto"/>
        <w:rPr>
          <w:rFonts w:hint="eastAsia" w:ascii="宋体" w:hAnsi="宋体" w:eastAsia="宋体" w:cs="宋体"/>
          <w:b w:val="0"/>
          <w:bCs w:val="0"/>
          <w:sz w:val="28"/>
          <w:szCs w:val="28"/>
        </w:rPr>
      </w:pPr>
      <w:r>
        <w:rPr>
          <w:rFonts w:hint="eastAsia"/>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sz w:val="24"/>
        </w:rPr>
        <w:t>日</w:t>
      </w:r>
    </w:p>
    <w:p>
      <w:pPr>
        <w:widowControl w:val="0"/>
        <w:tabs>
          <w:tab w:val="left" w:pos="360"/>
          <w:tab w:val="left" w:pos="900"/>
          <w:tab w:val="left" w:pos="1588"/>
        </w:tabs>
        <w:adjustRightInd w:val="0"/>
        <w:spacing w:before="0" w:line="360" w:lineRule="auto"/>
        <w:jc w:val="both"/>
        <w:textAlignment w:val="baseline"/>
        <w:outlineLvl w:val="2"/>
        <w:rPr>
          <w:rFonts w:hint="eastAsia" w:ascii="宋体" w:hAnsi="宋体" w:eastAsia="宋体" w:cs="宋体"/>
          <w:b w:val="0"/>
          <w:bCs w:val="0"/>
          <w:kern w:val="0"/>
          <w:sz w:val="24"/>
          <w:szCs w:val="24"/>
          <w:lang w:val="en-US" w:eastAsia="zh-CN" w:bidi="ar-SA"/>
        </w:rPr>
      </w:pPr>
      <w:bookmarkStart w:id="210" w:name="_Toc17236_WPSOffice_Level3"/>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eastAsia" w:ascii="宋体" w:hAnsi="宋体" w:eastAsia="宋体" w:cs="宋体"/>
          <w:b w:val="0"/>
          <w:bCs w:val="0"/>
          <w:kern w:val="0"/>
          <w:sz w:val="24"/>
          <w:szCs w:val="24"/>
          <w:lang w:val="en-US" w:eastAsia="zh-CN" w:bidi="ar-SA"/>
        </w:rPr>
      </w:pPr>
    </w:p>
    <w:p>
      <w:pPr>
        <w:widowControl w:val="0"/>
        <w:tabs>
          <w:tab w:val="left" w:pos="360"/>
          <w:tab w:val="left" w:pos="900"/>
          <w:tab w:val="left" w:pos="1588"/>
        </w:tabs>
        <w:adjustRightInd w:val="0"/>
        <w:spacing w:before="0" w:line="360" w:lineRule="auto"/>
        <w:jc w:val="both"/>
        <w:textAlignment w:val="baseline"/>
        <w:outlineLvl w:val="2"/>
        <w:rPr>
          <w:rFonts w:hint="eastAsia" w:ascii="宋体" w:hAnsi="宋体" w:eastAsia="宋体" w:cs="宋体"/>
          <w:b w:val="0"/>
          <w:bCs w:val="0"/>
          <w:kern w:val="0"/>
          <w:sz w:val="24"/>
          <w:szCs w:val="24"/>
          <w:lang w:val="en-US" w:eastAsia="zh-CN" w:bidi="ar-SA"/>
        </w:rPr>
        <w:sectPr>
          <w:pgSz w:w="11906" w:h="16838"/>
          <w:pgMar w:top="1440" w:right="1588" w:bottom="1440" w:left="1588" w:header="851" w:footer="992" w:gutter="0"/>
          <w:cols w:space="720" w:num="1"/>
          <w:docGrid w:type="lines" w:linePitch="312" w:charSpace="0"/>
        </w:sectPr>
      </w:pPr>
    </w:p>
    <w:bookmarkEnd w:id="210"/>
    <w:p>
      <w:pPr>
        <w:widowControl/>
        <w:spacing w:before="0" w:beforeAutospacing="0" w:after="360" w:afterAutospacing="0"/>
        <w:jc w:val="left"/>
        <w:textAlignment w:val="baseline"/>
        <w:rPr>
          <w:rFonts w:hint="eastAsia" w:ascii="宋体" w:hAnsi="宋体" w:eastAsia="宋体" w:cs="宋体"/>
          <w:kern w:val="0"/>
          <w:sz w:val="24"/>
          <w:szCs w:val="24"/>
          <w:lang w:val="en-US" w:eastAsia="zh-CN" w:bidi="ar-SA"/>
        </w:rPr>
      </w:pPr>
    </w:p>
    <w:bookmarkEnd w:id="206"/>
    <w:bookmarkEnd w:id="207"/>
    <w:bookmarkEnd w:id="208"/>
    <w:bookmarkEnd w:id="209"/>
    <w:p>
      <w:pPr>
        <w:pStyle w:val="3"/>
        <w:bidi w:val="0"/>
        <w:jc w:val="center"/>
        <w:rPr>
          <w:rFonts w:hint="eastAsia" w:ascii="宋体" w:hAnsi="宋体" w:eastAsia="宋体" w:cs="宋体"/>
          <w:b/>
          <w:kern w:val="0"/>
          <w:szCs w:val="24"/>
          <w:lang w:val="en-US" w:eastAsia="zh-CN" w:bidi="ar-SA"/>
        </w:rPr>
      </w:pPr>
      <w:bookmarkStart w:id="211" w:name="_Toc9163"/>
      <w:bookmarkStart w:id="212" w:name="_Toc417657284"/>
      <w:bookmarkStart w:id="213" w:name="_Toc15539_WPSOffice_Level3"/>
      <w:bookmarkStart w:id="214" w:name="_Toc60996694"/>
      <w:bookmarkStart w:id="215" w:name="_Toc27764"/>
      <w:bookmarkStart w:id="216" w:name="_Toc417475051"/>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 xml:space="preserve"> 构成响应文件的其他资料</w:t>
      </w:r>
      <w:bookmarkEnd w:id="211"/>
      <w:bookmarkEnd w:id="212"/>
      <w:bookmarkEnd w:id="213"/>
      <w:bookmarkEnd w:id="214"/>
      <w:bookmarkEnd w:id="215"/>
      <w:bookmarkEnd w:id="216"/>
    </w:p>
    <w:p>
      <w:pPr>
        <w:rPr>
          <w:rFonts w:hint="eastAsia" w:ascii="宋体" w:hAnsi="宋体" w:eastAsia="宋体" w:cs="宋体"/>
        </w:rPr>
      </w:pPr>
    </w:p>
    <w:p>
      <w:pPr>
        <w:spacing w:line="460" w:lineRule="exact"/>
        <w:ind w:firstLine="480" w:firstLineChars="200"/>
        <w:rPr>
          <w:rFonts w:hint="eastAsia" w:ascii="宋体" w:hAnsi="宋体" w:eastAsia="宋体" w:cs="宋体"/>
          <w:sz w:val="24"/>
        </w:rPr>
      </w:pPr>
      <w:r>
        <w:rPr>
          <w:rFonts w:ascii="Times New Roman" w:hAnsi="Times New Roman" w:eastAsia="宋体" w:cs="Times New Roman"/>
          <w:kern w:val="0"/>
          <w:sz w:val="24"/>
        </w:rPr>
        <w:t>竞争性谈判文件中所涉及到的相关资料及证明文件或供应商认为必须提供的其他相关资料。</w:t>
      </w:r>
      <w:r>
        <w:rPr>
          <w:rFonts w:ascii="Times New Roman" w:hAnsi="Times New Roman" w:cs="Times New Roman"/>
          <w:sz w:val="24"/>
        </w:rPr>
        <w:t>有格式</w:t>
      </w:r>
      <w:r>
        <w:rPr>
          <w:rFonts w:hint="eastAsia" w:ascii="宋体" w:hAnsi="宋体"/>
          <w:sz w:val="24"/>
        </w:rPr>
        <w:t>的请按给定格式填写，无格式要求的请自拟格式。</w:t>
      </w:r>
    </w:p>
    <w:p>
      <w:pPr>
        <w:widowControl w:val="0"/>
        <w:spacing w:line="400" w:lineRule="exact"/>
        <w:ind w:firstLine="0" w:firstLineChars="0"/>
        <w:jc w:val="left"/>
        <w:rPr>
          <w:rFonts w:hint="eastAsia" w:ascii="宋体" w:hAnsi="宋体" w:eastAsia="宋体" w:cs="宋体"/>
          <w:b/>
          <w:bCs/>
          <w:kern w:val="2"/>
          <w:sz w:val="24"/>
          <w:szCs w:val="24"/>
          <w:lang w:val="en-US" w:eastAsia="zh-CN" w:bidi="ar-SA"/>
        </w:rPr>
      </w:pPr>
    </w:p>
    <w:p>
      <w:pPr>
        <w:spacing w:line="640" w:lineRule="exact"/>
        <w:rPr>
          <w:rFonts w:hint="eastAsia" w:ascii="宋体" w:hAnsi="宋体" w:eastAsia="宋体" w:cs="宋体"/>
          <w:sz w:val="24"/>
        </w:rPr>
      </w:pPr>
      <w:bookmarkStart w:id="217" w:name="_Toc17377_WPSOffice_Level3"/>
      <w:bookmarkStart w:id="218" w:name="_Toc8522_WPSOffice_Level2"/>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p>
      <w:pPr>
        <w:spacing w:line="640" w:lineRule="exact"/>
        <w:rPr>
          <w:rFonts w:hint="eastAsia" w:ascii="宋体" w:hAnsi="宋体" w:eastAsia="宋体" w:cs="宋体"/>
          <w:sz w:val="24"/>
        </w:rPr>
      </w:pPr>
    </w:p>
    <w:bookmarkEnd w:id="217"/>
    <w:bookmarkEnd w:id="218"/>
    <w:p>
      <w:pPr>
        <w:rPr>
          <w:rFonts w:hint="eastAsia" w:ascii="宋体" w:hAnsi="宋体" w:eastAsia="宋体" w:cs="宋体"/>
          <w:sz w:val="24"/>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pPr>
    </w:p>
    <w:p>
      <w:pPr>
        <w:widowControl w:val="0"/>
        <w:jc w:val="both"/>
        <w:rPr>
          <w:rFonts w:hint="eastAsia" w:ascii="宋体" w:hAnsi="宋体" w:eastAsia="宋体" w:cs="宋体"/>
          <w:kern w:val="0"/>
          <w:sz w:val="24"/>
          <w:szCs w:val="24"/>
          <w:lang w:val="en-US" w:eastAsia="zh-CN" w:bidi="ar-SA"/>
        </w:rPr>
        <w:sectPr>
          <w:pgSz w:w="11906" w:h="16838"/>
          <w:pgMar w:top="1440" w:right="1588" w:bottom="1440" w:left="1588" w:header="851" w:footer="992" w:gutter="0"/>
          <w:cols w:space="720" w:num="1"/>
          <w:docGrid w:type="lines" w:linePitch="312" w:charSpace="0"/>
        </w:sectPr>
      </w:pPr>
    </w:p>
    <w:p>
      <w:pPr>
        <w:pStyle w:val="2"/>
        <w:bidi w:val="0"/>
        <w:jc w:val="center"/>
        <w:rPr>
          <w:rFonts w:hint="default" w:ascii="Times New Roman" w:hAnsi="Times New Roman" w:cs="Times New Roman"/>
          <w:lang w:val="en-US" w:eastAsia="zh-CN"/>
        </w:rPr>
      </w:pPr>
      <w:bookmarkStart w:id="219" w:name="_Toc60996695"/>
      <w:bookmarkStart w:id="220" w:name="_Toc8111_WPSOffice_Level1"/>
      <w:bookmarkStart w:id="221" w:name="_Toc15807_WPSOffice_Level2"/>
      <w:bookmarkStart w:id="222" w:name="_Toc30149"/>
      <w:bookmarkStart w:id="223" w:name="_技术规格、参数与要求"/>
      <w:r>
        <w:rPr>
          <w:rFonts w:hint="default" w:ascii="Times New Roman" w:hAnsi="Times New Roman" w:cs="Times New Roman"/>
          <w:lang w:val="en-US" w:eastAsia="zh-CN"/>
        </w:rPr>
        <w:t xml:space="preserve">第五章 </w:t>
      </w:r>
      <w:bookmarkEnd w:id="219"/>
      <w:r>
        <w:rPr>
          <w:rFonts w:hint="default" w:ascii="Times New Roman" w:hAnsi="Times New Roman" w:cs="Times New Roman"/>
          <w:lang w:val="en-US" w:eastAsia="zh-CN"/>
        </w:rPr>
        <w:t xml:space="preserve"> </w:t>
      </w:r>
      <w:bookmarkEnd w:id="220"/>
      <w:bookmarkEnd w:id="221"/>
      <w:r>
        <w:rPr>
          <w:rFonts w:hint="default" w:ascii="Times New Roman" w:hAnsi="Times New Roman" w:cs="Times New Roman"/>
          <w:lang w:val="en-US" w:eastAsia="zh-CN"/>
        </w:rPr>
        <w:t>采购需求</w:t>
      </w:r>
      <w:bookmarkEnd w:id="222"/>
    </w:p>
    <w:bookmarkEnd w:id="223"/>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为满足正常办公需求，我校保卫处拟采购办公用品一批，详见下列计划采购清单。</w:t>
      </w:r>
    </w:p>
    <w:p>
      <w:pPr>
        <w:pStyle w:val="3"/>
        <w:bidi w:val="0"/>
        <w:rPr>
          <w:rFonts w:hint="default" w:ascii="Times New Roman" w:hAnsi="Times New Roman" w:eastAsia="宋体" w:cs="Times New Roman"/>
          <w:szCs w:val="24"/>
          <w:lang w:val="en-US" w:eastAsia="zh-CN"/>
        </w:rPr>
      </w:pPr>
      <w:bookmarkStart w:id="224" w:name="_Toc15781"/>
      <w:r>
        <w:rPr>
          <w:rFonts w:hint="default" w:ascii="Times New Roman" w:hAnsi="Times New Roman" w:eastAsia="宋体" w:cs="Times New Roman"/>
          <w:lang w:val="en-US" w:eastAsia="zh-CN"/>
        </w:rPr>
        <w:t>5.1 计划采购清单</w:t>
      </w:r>
      <w:bookmarkEnd w:id="224"/>
    </w:p>
    <w:p>
      <w:pPr>
        <w:spacing w:line="460" w:lineRule="exact"/>
        <w:ind w:firstLine="48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2022年楚雄医专保卫处拟采购办公用品清单</w:t>
      </w:r>
    </w:p>
    <w:tbl>
      <w:tblPr>
        <w:tblStyle w:val="11"/>
        <w:tblpPr w:leftFromText="180" w:rightFromText="180" w:vertAnchor="text" w:horzAnchor="page" w:tblpXSpec="center" w:tblpY="535"/>
        <w:tblOverlap w:val="never"/>
        <w:tblW w:w="8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735"/>
        <w:gridCol w:w="1050"/>
        <w:gridCol w:w="2578"/>
        <w:gridCol w:w="1219"/>
        <w:gridCol w:w="1191"/>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物品</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参数及要求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单价/元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按动中性笔</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速干、子弹头型、滚珠式、笔芯0.5mm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黑色76盒，红色2盒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24元/盒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软抄笔记本</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A5纸张 大于30张每本 热熔胶装订</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硬壳笔记本</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PU面料、A5纸张 大于90张每本 锁线装订</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档案盒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PP材质、加厚型、背宽55mm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档案袋</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200g纸张、复合牛皮纸、340*240mm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订书机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省力型，可订50页</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订书针</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通用型12号 24/6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1元/盒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回形针</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100只/盒、单色 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1元/盒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彩色长尾夹</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19mm,25mm,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各10盒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7.5元/盒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胶水</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135ml</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香糊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100g/瓶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1.5元/瓶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16K信笺纸</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加厚型</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HB铅笔</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12支/盒</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8元/盒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宽胶带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透明/米黄色，60mm宽</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按动圆珠笔</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黑色、子弹头型</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修正液</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12g/支</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12位数、双电源</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快干红色印台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油性、泡棉、塑料翻盖</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标签贴</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不干胶标签贴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毛巾</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纯棉、70*34cm、90g左右</w:t>
            </w: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74条</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9元/条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纸杯</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50个装、200-300ml,加厚型</w:t>
            </w: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70提</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14元/提</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60升塑料收纳箱</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加厚型</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办公用剪刀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不锈钢、中号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7元/把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加厚、亚克力20cm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收支账本</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加厚纸张16K、装订页、100张/本</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现金日记账本</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加厚纸张16k、装订页、100张/本</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银行日记账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加厚纸张16k、装订页、100张/本</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5本</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肥皂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200g左右/块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2.5元/块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抑菌洗手液</w:t>
            </w:r>
          </w:p>
        </w:tc>
        <w:tc>
          <w:tcPr>
            <w:tcW w:w="257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500g/瓶、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8元/瓶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警用强光电筒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151mm×26mm×34mm</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喊话器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&gt;=50瓦、可插卡、插U盘、录音</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50元/个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劳保服</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纯棉</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200元/套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电工绝缘手套</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防电、皮质+针织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20元/双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垃圾袋</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加厚型，手提式45*60cm</w:t>
            </w:r>
          </w:p>
        </w:tc>
        <w:tc>
          <w:tcPr>
            <w:tcW w:w="121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90匝</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1.5元/匝</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5号电池</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碱性电池1.5V</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7号电池</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碱性电池1.5V</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卷笔刀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12个</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橡皮擦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雨衣</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塑料材质，长款，M号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橡胶手套</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加厚耐磨牛筋乳胶，S号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40双</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手柄钢丝球</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带样品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电热烧水壶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双层、1500W,220V,食品级不锈钢，自动断电，1.5-2L容量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100元/把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酸性大板玻璃胶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300ml/瓶，用于粘贴隔板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15元/把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马克笔</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快干，防水，不掉色，油性墨水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黑色10，蓝色10，红色5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2元/支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裁纸刀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铝合金，大号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10元/把</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13032.1</w:t>
            </w:r>
          </w:p>
        </w:tc>
      </w:tr>
    </w:tbl>
    <w:p>
      <w:pPr>
        <w:pStyle w:val="3"/>
        <w:bidi w:val="0"/>
        <w:rPr>
          <w:rFonts w:hint="default" w:ascii="Times New Roman" w:hAnsi="Times New Roman" w:eastAsia="宋体" w:cs="Times New Roman"/>
          <w:b w:val="0"/>
          <w:bCs/>
          <w:kern w:val="0"/>
          <w:szCs w:val="24"/>
          <w:lang w:val="en-US" w:eastAsia="zh-CN" w:bidi="ar-SA"/>
        </w:rPr>
      </w:pPr>
      <w:bookmarkStart w:id="225" w:name="_Toc8056"/>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 xml:space="preserve"> 交货要求</w:t>
      </w:r>
      <w:bookmarkEnd w:id="225"/>
    </w:p>
    <w:p>
      <w:pPr>
        <w:widowControl/>
        <w:spacing w:before="156" w:beforeAutospacing="0" w:after="100" w:afterAutospacing="1" w:line="38" w:lineRule="atLeast"/>
        <w:ind w:firstLine="480" w:firstLineChars="200"/>
        <w:jc w:val="left"/>
        <w:rPr>
          <w:rFonts w:hint="eastAsia" w:ascii="Times New Roman" w:hAnsi="Times New Roman" w:eastAsia="宋体" w:cs="Times New Roman"/>
          <w:sz w:val="24"/>
          <w:szCs w:val="24"/>
          <w:lang w:val="en-US" w:eastAsia="zh-CN"/>
        </w:rPr>
      </w:pPr>
      <w:bookmarkStart w:id="226" w:name="_Toc736_WPSOffice_Level3"/>
      <w:bookmarkStart w:id="227" w:name="_Toc14815_WPSOffice_Level2"/>
      <w:r>
        <w:rPr>
          <w:rFonts w:hint="eastAsia" w:ascii="Times New Roman" w:hAnsi="Times New Roman" w:eastAsia="宋体" w:cs="Times New Roman"/>
          <w:sz w:val="24"/>
          <w:szCs w:val="24"/>
          <w:lang w:eastAsia="zh-CN"/>
        </w:rPr>
        <w:t>根据采购方要求</w:t>
      </w:r>
      <w:r>
        <w:rPr>
          <w:rFonts w:hint="eastAsia" w:ascii="Times New Roman" w:hAnsi="Times New Roman" w:eastAsia="宋体" w:cs="Times New Roman"/>
          <w:sz w:val="24"/>
          <w:szCs w:val="24"/>
          <w:lang w:val="en-US" w:eastAsia="zh-CN"/>
        </w:rPr>
        <w:t>供货</w:t>
      </w:r>
      <w:r>
        <w:rPr>
          <w:rFonts w:hint="eastAsia" w:ascii="Times New Roman" w:hAnsi="Times New Roman" w:eastAsia="宋体" w:cs="Times New Roman"/>
          <w:sz w:val="24"/>
          <w:szCs w:val="24"/>
          <w:lang w:eastAsia="zh-CN"/>
        </w:rPr>
        <w:t>，供货时间为合同签订后</w:t>
      </w:r>
      <w:r>
        <w:rPr>
          <w:rFonts w:hint="eastAsia" w:ascii="Times New Roman" w:hAnsi="Times New Roman" w:eastAsia="宋体" w:cs="Times New Roman"/>
          <w:sz w:val="24"/>
          <w:szCs w:val="24"/>
          <w:lang w:val="en-US" w:eastAsia="zh-CN"/>
        </w:rPr>
        <w:t>15个日历天内。</w:t>
      </w:r>
    </w:p>
    <w:p>
      <w:pPr>
        <w:pStyle w:val="3"/>
        <w:bidi w:val="0"/>
        <w:rPr>
          <w:rFonts w:hint="default" w:ascii="Times New Roman" w:hAnsi="Times New Roman" w:eastAsia="宋体" w:cs="Times New Roman"/>
          <w:b w:val="0"/>
          <w:bCs w:val="0"/>
          <w:kern w:val="2"/>
          <w:szCs w:val="24"/>
          <w:lang w:val="en-US" w:eastAsia="zh-CN" w:bidi="ar-SA"/>
        </w:rPr>
      </w:pPr>
      <w:bookmarkStart w:id="228" w:name="_Toc24279"/>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 xml:space="preserve"> 验收标准和方法</w:t>
      </w:r>
      <w:bookmarkEnd w:id="226"/>
      <w:bookmarkEnd w:id="227"/>
      <w:bookmarkEnd w:id="228"/>
    </w:p>
    <w:p>
      <w:pPr>
        <w:adjustRightInd w:val="0"/>
        <w:snapToGrid w:val="0"/>
        <w:spacing w:before="120" w:beforeLines="5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所供产品的规格、数量符合</w:t>
      </w:r>
      <w:r>
        <w:rPr>
          <w:rFonts w:hint="default" w:ascii="Times New Roman" w:hAnsi="Times New Roman" w:eastAsia="宋体" w:cs="Times New Roman"/>
          <w:sz w:val="24"/>
          <w:lang w:val="en-US" w:eastAsia="zh-CN"/>
        </w:rPr>
        <w:t>采购</w:t>
      </w:r>
      <w:r>
        <w:rPr>
          <w:rFonts w:hint="default" w:ascii="Times New Roman" w:hAnsi="Times New Roman" w:eastAsia="宋体" w:cs="Times New Roman"/>
          <w:sz w:val="24"/>
        </w:rPr>
        <w:t>文件供应商投标承诺及采购合同约定的要求。</w:t>
      </w:r>
    </w:p>
    <w:p>
      <w:pPr>
        <w:adjustRightInd w:val="0"/>
        <w:snapToGrid w:val="0"/>
        <w:spacing w:before="120" w:beforeLines="5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要求货物为原制造商制造的全新产品，整机无污染，无侵权行为、表面无划损、无任何缺陷隐患，在中国境内可依常规安全合法使用。</w:t>
      </w:r>
      <w:bookmarkStart w:id="229" w:name="_Toc25325_WPSOffice_Level1"/>
      <w:bookmarkStart w:id="230" w:name="_Toc17377_WPSOffice_Level2"/>
      <w:bookmarkStart w:id="231" w:name="_Toc60996698"/>
      <w:bookmarkStart w:id="232" w:name="_第七章____评标办法（综合评分法）"/>
    </w:p>
    <w:p>
      <w:pPr>
        <w:adjustRightInd w:val="0"/>
        <w:snapToGrid w:val="0"/>
        <w:spacing w:beforeLines="5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rPr>
        <w:t>）采购人组成验收小组按国家有关规定、规范进行验收，必要时邀请相关的专业人员或机构参与验收。</w:t>
      </w:r>
    </w:p>
    <w:p>
      <w:pPr>
        <w:adjustRightInd w:val="0"/>
        <w:snapToGrid w:val="0"/>
        <w:spacing w:before="120" w:beforeLines="50" w:line="360" w:lineRule="auto"/>
        <w:ind w:firstLine="480" w:firstLineChars="200"/>
        <w:rPr>
          <w:rFonts w:hint="eastAsia" w:ascii="宋体" w:hAnsi="宋体" w:eastAsia="宋体" w:cs="宋体"/>
          <w:sz w:val="24"/>
        </w:rPr>
      </w:pP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）若</w:t>
      </w:r>
      <w:r>
        <w:rPr>
          <w:rFonts w:hint="eastAsia" w:ascii="Times New Roman" w:hAnsi="Times New Roman" w:eastAsia="宋体" w:cs="Times New Roman"/>
          <w:sz w:val="24"/>
          <w:lang w:val="en-US" w:eastAsia="zh-CN"/>
        </w:rPr>
        <w:t>货物</w:t>
      </w:r>
      <w:r>
        <w:rPr>
          <w:rFonts w:hint="default" w:ascii="Times New Roman" w:hAnsi="Times New Roman" w:eastAsia="宋体" w:cs="Times New Roman"/>
          <w:sz w:val="24"/>
        </w:rPr>
        <w:t>验收不通过，采购人有权换货，成交供应商必须无条件更换新的</w:t>
      </w:r>
      <w:r>
        <w:rPr>
          <w:rFonts w:hint="eastAsia" w:ascii="Times New Roman" w:hAnsi="Times New Roman" w:eastAsia="宋体" w:cs="Times New Roman"/>
          <w:sz w:val="24"/>
          <w:lang w:val="en-US" w:eastAsia="zh-CN"/>
        </w:rPr>
        <w:t>货物</w:t>
      </w:r>
      <w:r>
        <w:rPr>
          <w:rFonts w:hint="default" w:ascii="Times New Roman" w:hAnsi="Times New Roman" w:eastAsia="宋体" w:cs="Times New Roman"/>
          <w:sz w:val="24"/>
        </w:rPr>
        <w:t>给采购人。</w:t>
      </w:r>
    </w:p>
    <w:p>
      <w:pPr>
        <w:pStyle w:val="3"/>
        <w:bidi w:val="0"/>
        <w:rPr>
          <w:rFonts w:hint="default" w:ascii="宋体" w:hAnsi="宋体" w:eastAsia="宋体" w:cs="宋体"/>
          <w:lang w:val="en-US" w:eastAsia="zh-CN"/>
        </w:rPr>
      </w:pPr>
      <w:bookmarkStart w:id="233" w:name="_Toc32418"/>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特殊</w:t>
      </w:r>
      <w:r>
        <w:rPr>
          <w:rFonts w:hint="default" w:ascii="Times New Roman" w:hAnsi="Times New Roman" w:eastAsia="宋体" w:cs="Times New Roman"/>
          <w:lang w:val="en-US" w:eastAsia="zh-CN"/>
        </w:rPr>
        <w:t>要求</w:t>
      </w:r>
      <w:bookmarkEnd w:id="233"/>
    </w:p>
    <w:p>
      <w:pPr>
        <w:widowControl/>
        <w:spacing w:before="156" w:beforeAutospacing="0" w:after="100" w:afterAutospacing="1" w:line="38" w:lineRule="atLeast"/>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若本次采购后，在实际办公过程中，2022年度内还有本项目清单上办公用品的采购需求，则由本次成交供应商继续以本次成交的各办公用品单价供货，具体数量视情况而定。且成交供应商须在采购人提出继续供货要求后2小时内送货到采购人处。</w:t>
      </w:r>
    </w:p>
    <w:p>
      <w:pPr>
        <w:widowControl/>
        <w:spacing w:before="156" w:beforeAutospacing="0" w:after="100" w:afterAutospacing="1" w:line="38" w:lineRule="atLeast"/>
        <w:ind w:firstLine="480" w:firstLineChars="200"/>
        <w:jc w:val="left"/>
        <w:rPr>
          <w:rFonts w:hint="eastAsia" w:ascii="Times New Roman" w:hAnsi="Times New Roman" w:eastAsia="宋体" w:cs="Times New Roman"/>
          <w:sz w:val="24"/>
          <w:szCs w:val="24"/>
          <w:lang w:val="en-US" w:eastAsia="zh-CN"/>
        </w:rPr>
      </w:pPr>
    </w:p>
    <w:p>
      <w:pPr>
        <w:adjustRightInd w:val="0"/>
        <w:snapToGrid w:val="0"/>
        <w:spacing w:before="120" w:beforeLines="50" w:line="360" w:lineRule="auto"/>
        <w:ind w:firstLine="480" w:firstLineChars="200"/>
        <w:rPr>
          <w:rFonts w:hint="eastAsia" w:ascii="宋体" w:hAnsi="宋体" w:eastAsia="宋体" w:cs="宋体"/>
          <w:sz w:val="24"/>
          <w:lang w:val="en-US" w:eastAsia="zh-CN"/>
        </w:rPr>
        <w:sectPr>
          <w:pgSz w:w="11906" w:h="16838"/>
          <w:pgMar w:top="1440" w:right="1800" w:bottom="1440" w:left="1800" w:header="851" w:footer="992" w:gutter="0"/>
          <w:cols w:space="425" w:num="1"/>
          <w:docGrid w:type="lines" w:linePitch="312" w:charSpace="0"/>
        </w:sectPr>
      </w:pPr>
    </w:p>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pPr>
      <w:bookmarkStart w:id="234" w:name="_Toc8252"/>
      <w:r>
        <w:rPr>
          <w:rFonts w:hint="eastAsia" w:ascii="宋体" w:hAnsi="宋体" w:eastAsia="宋体" w:cs="宋体"/>
          <w:b/>
          <w:bCs/>
          <w:kern w:val="44"/>
          <w:sz w:val="32"/>
          <w:szCs w:val="32"/>
          <w:lang w:val="en-US" w:eastAsia="zh-CN" w:bidi="ar-SA"/>
        </w:rPr>
        <w:t>第六章  评审办法</w:t>
      </w:r>
      <w:bookmarkEnd w:id="229"/>
      <w:bookmarkEnd w:id="230"/>
      <w:bookmarkEnd w:id="231"/>
      <w:bookmarkEnd w:id="234"/>
    </w:p>
    <w:bookmarkEnd w:id="232"/>
    <w:p>
      <w:pPr>
        <w:bidi w:val="0"/>
        <w:jc w:val="center"/>
        <w:rPr>
          <w:rFonts w:hint="default" w:ascii="Times New Roman" w:hAnsi="Times New Roman" w:cs="Times New Roman"/>
          <w:sz w:val="24"/>
          <w:szCs w:val="24"/>
          <w:lang w:val="en-US" w:eastAsia="zh-CN"/>
        </w:rPr>
      </w:pPr>
      <w:bookmarkStart w:id="235" w:name="_综合评分前附表"/>
      <w:bookmarkStart w:id="236" w:name="_Toc22394_WPSOffice_Level3"/>
      <w:bookmarkStart w:id="237" w:name="_Toc22745_WPSOffice_Level2"/>
    </w:p>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评审办法前附</w:t>
      </w:r>
      <w:bookmarkEnd w:id="235"/>
      <w:bookmarkEnd w:id="236"/>
      <w:bookmarkEnd w:id="237"/>
      <w:r>
        <w:rPr>
          <w:rFonts w:hint="default" w:ascii="Times New Roman" w:hAnsi="Times New Roman" w:cs="Times New Roman"/>
          <w:sz w:val="24"/>
          <w:szCs w:val="24"/>
          <w:lang w:val="en-US" w:eastAsia="zh-CN"/>
        </w:rPr>
        <w:t>表</w:t>
      </w:r>
    </w:p>
    <w:tbl>
      <w:tblPr>
        <w:tblStyle w:val="11"/>
        <w:tblpPr w:leftFromText="180" w:rightFromText="180" w:vertAnchor="text" w:horzAnchor="page" w:tblpX="1543" w:tblpY="110"/>
        <w:tblOverlap w:val="never"/>
        <w:tblW w:w="929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397"/>
        <w:gridCol w:w="62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1634" w:type="dxa"/>
            <w:gridSpan w:val="2"/>
            <w:tcBorders>
              <w:top w:val="single" w:color="auto" w:sz="12" w:space="0"/>
            </w:tcBorders>
            <w:vAlign w:val="center"/>
          </w:tcPr>
          <w:p>
            <w:pPr>
              <w:jc w:val="center"/>
              <w:rPr>
                <w:rFonts w:hint="eastAsia" w:ascii="宋体" w:hAnsi="宋体" w:eastAsia="宋体" w:cs="宋体"/>
                <w:b/>
                <w:szCs w:val="21"/>
              </w:rPr>
            </w:pPr>
            <w:bookmarkStart w:id="238" w:name="_Toc31028"/>
            <w:bookmarkStart w:id="239" w:name="_Toc60996699"/>
            <w:r>
              <w:rPr>
                <w:rFonts w:hint="eastAsia" w:ascii="宋体" w:hAnsi="宋体" w:eastAsia="宋体" w:cs="宋体"/>
                <w:b/>
                <w:szCs w:val="21"/>
              </w:rPr>
              <w:t>条款号</w:t>
            </w: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评审因素</w:t>
            </w:r>
          </w:p>
        </w:tc>
        <w:tc>
          <w:tcPr>
            <w:tcW w:w="6265"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评审标准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restart"/>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
                <w:szCs w:val="21"/>
              </w:rPr>
              <w:t>1</w:t>
            </w:r>
          </w:p>
        </w:tc>
        <w:tc>
          <w:tcPr>
            <w:tcW w:w="817" w:type="dxa"/>
            <w:vMerge w:val="restart"/>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szCs w:val="21"/>
              </w:rPr>
              <w:t>资格审查</w:t>
            </w: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szCs w:val="21"/>
              </w:rPr>
              <w:t>营业执照</w:t>
            </w:r>
          </w:p>
        </w:tc>
        <w:tc>
          <w:tcPr>
            <w:tcW w:w="6265" w:type="dxa"/>
            <w:tcBorders>
              <w:top w:val="single" w:color="auto" w:sz="12" w:space="0"/>
            </w:tcBorders>
            <w:vAlign w:val="center"/>
          </w:tcPr>
          <w:p>
            <w:pPr>
              <w:jc w:val="left"/>
              <w:rPr>
                <w:rFonts w:hint="eastAsia" w:ascii="宋体" w:hAnsi="宋体" w:eastAsia="宋体" w:cs="宋体"/>
                <w:bCs/>
                <w:szCs w:val="21"/>
              </w:rPr>
            </w:pPr>
            <w:r>
              <w:rPr>
                <w:rFonts w:hint="eastAsia" w:ascii="宋体" w:hAnsi="宋体" w:eastAsia="宋体" w:cs="宋体"/>
                <w:bCs/>
                <w:szCs w:val="21"/>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tcBorders>
              <w:top w:val="single" w:color="auto" w:sz="12" w:space="0"/>
            </w:tcBorders>
            <w:vAlign w:val="center"/>
          </w:tcPr>
          <w:p>
            <w:pPr>
              <w:jc w:val="center"/>
              <w:rPr>
                <w:rFonts w:hint="eastAsia" w:ascii="宋体" w:hAnsi="宋体" w:eastAsia="宋体" w:cs="宋体"/>
                <w:szCs w:val="21"/>
              </w:rPr>
            </w:pPr>
            <w:r>
              <w:rPr>
                <w:rFonts w:hint="eastAsia" w:ascii="宋体" w:hAnsi="宋体" w:eastAsia="宋体" w:cs="宋体"/>
                <w:szCs w:val="21"/>
              </w:rPr>
              <w:t>缴纳税收情况</w:t>
            </w: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rPr>
              <w:t>供应商2021年1月至今期间（税款所属时期）任意1个月的税务局税收通用缴款书复印件或银行电子缴税（费）凭证复印件或税务局出具纳税情况的相关证明复印件。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vMerge w:val="restart"/>
            <w:tcBorders>
              <w:top w:val="single" w:color="auto" w:sz="12" w:space="0"/>
            </w:tcBorders>
            <w:vAlign w:val="center"/>
          </w:tcPr>
          <w:p>
            <w:pPr>
              <w:jc w:val="center"/>
              <w:rPr>
                <w:rFonts w:hint="eastAsia" w:ascii="宋体" w:hAnsi="宋体" w:eastAsia="宋体" w:cs="宋体"/>
                <w:szCs w:val="21"/>
              </w:rPr>
            </w:pPr>
            <w:r>
              <w:rPr>
                <w:rFonts w:hint="eastAsia" w:ascii="宋体" w:hAnsi="宋体" w:eastAsia="宋体" w:cs="宋体"/>
                <w:szCs w:val="21"/>
              </w:rPr>
              <w:t>信誉</w:t>
            </w: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rPr>
              <w:t>供应商参加政府采购活动前3年内在经营活动中没有重大违法记录的书面声明，须提供书面声明并加盖公章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vMerge w:val="continue"/>
            <w:vAlign w:val="center"/>
          </w:tcPr>
          <w:p>
            <w:pPr>
              <w:jc w:val="center"/>
              <w:rPr>
                <w:rFonts w:hint="eastAsia" w:ascii="宋体" w:hAnsi="宋体" w:eastAsia="宋体" w:cs="宋体"/>
                <w:b/>
                <w:szCs w:val="21"/>
              </w:rPr>
            </w:pPr>
          </w:p>
        </w:tc>
        <w:tc>
          <w:tcPr>
            <w:tcW w:w="6265" w:type="dxa"/>
            <w:vAlign w:val="center"/>
          </w:tcPr>
          <w:p>
            <w:pPr>
              <w:jc w:val="left"/>
              <w:rPr>
                <w:rFonts w:hint="eastAsia" w:ascii="宋体" w:hAnsi="宋体" w:eastAsia="宋体" w:cs="宋体"/>
                <w:b/>
                <w:szCs w:val="21"/>
              </w:rPr>
            </w:pPr>
            <w:r>
              <w:rPr>
                <w:rFonts w:hint="eastAsia" w:ascii="宋体" w:hAnsi="宋体" w:eastAsia="宋体" w:cs="宋体"/>
                <w:bCs/>
                <w:szCs w:val="21"/>
                <w:lang w:eastAsia="zh-CN"/>
              </w:rPr>
              <w:t>供应商在投标截止时间前未被列入“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eastAsia="宋体" w:cs="宋体"/>
                <w:bCs/>
                <w:szCs w:val="21"/>
              </w:rPr>
              <w:t>须提供查询结果网页截图和承诺函。若为失信企业，将取消中标资格。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8" w:hRule="atLeast"/>
        </w:trPr>
        <w:tc>
          <w:tcPr>
            <w:tcW w:w="817" w:type="dxa"/>
            <w:vMerge w:val="continue"/>
            <w:vAlign w:val="center"/>
          </w:tcPr>
          <w:p>
            <w:pPr>
              <w:jc w:val="center"/>
              <w:rPr>
                <w:rFonts w:hint="eastAsia" w:ascii="宋体" w:hAnsi="宋体" w:eastAsia="宋体" w:cs="宋体"/>
                <w:b/>
                <w:szCs w:val="21"/>
              </w:rPr>
            </w:pPr>
          </w:p>
        </w:tc>
        <w:tc>
          <w:tcPr>
            <w:tcW w:w="817" w:type="dxa"/>
            <w:vMerge w:val="continue"/>
            <w:vAlign w:val="center"/>
          </w:tcPr>
          <w:p>
            <w:pPr>
              <w:jc w:val="center"/>
              <w:rPr>
                <w:rFonts w:hint="eastAsia" w:ascii="宋体" w:hAnsi="宋体" w:eastAsia="宋体" w:cs="宋体"/>
                <w:szCs w:val="21"/>
              </w:rPr>
            </w:pPr>
          </w:p>
        </w:tc>
        <w:tc>
          <w:tcPr>
            <w:tcW w:w="1397" w:type="dxa"/>
            <w:tcBorders>
              <w:top w:val="single" w:color="auto" w:sz="12" w:space="0"/>
            </w:tcBorders>
            <w:vAlign w:val="center"/>
          </w:tcPr>
          <w:p>
            <w:pPr>
              <w:jc w:val="center"/>
              <w:rPr>
                <w:rFonts w:hint="eastAsia" w:ascii="宋体" w:hAnsi="宋体" w:eastAsia="宋体" w:cs="宋体"/>
                <w:b/>
                <w:szCs w:val="21"/>
              </w:rPr>
            </w:pPr>
            <w:r>
              <w:rPr>
                <w:rFonts w:hint="eastAsia" w:ascii="宋体" w:hAnsi="宋体" w:eastAsia="宋体" w:cs="宋体"/>
                <w:bCs/>
                <w:szCs w:val="21"/>
              </w:rPr>
              <w:t>谈判保证金</w:t>
            </w:r>
          </w:p>
        </w:tc>
        <w:tc>
          <w:tcPr>
            <w:tcW w:w="6265" w:type="dxa"/>
            <w:vAlign w:val="center"/>
          </w:tcPr>
          <w:p>
            <w:pPr>
              <w:jc w:val="left"/>
              <w:rPr>
                <w:rFonts w:hint="eastAsia" w:ascii="宋体" w:hAnsi="宋体" w:eastAsia="宋体" w:cs="宋体"/>
                <w:bCs/>
                <w:szCs w:val="21"/>
              </w:rPr>
            </w:pPr>
            <w:r>
              <w:rPr>
                <w:rFonts w:hint="eastAsia" w:ascii="宋体" w:hAnsi="宋体" w:eastAsia="宋体" w:cs="宋体"/>
                <w:bCs/>
                <w:szCs w:val="21"/>
              </w:rPr>
              <w:t>足额缴纳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817"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符合</w:t>
            </w:r>
          </w:p>
          <w:p>
            <w:pPr>
              <w:jc w:val="center"/>
              <w:rPr>
                <w:rFonts w:hint="eastAsia" w:ascii="宋体" w:hAnsi="宋体" w:eastAsia="宋体" w:cs="宋体"/>
                <w:szCs w:val="21"/>
              </w:rPr>
            </w:pPr>
            <w:r>
              <w:rPr>
                <w:rFonts w:hint="eastAsia" w:ascii="宋体" w:hAnsi="宋体" w:eastAsia="宋体" w:cs="宋体"/>
                <w:szCs w:val="21"/>
              </w:rPr>
              <w:t>性审查</w:t>
            </w:r>
          </w:p>
          <w:p>
            <w:pPr>
              <w:jc w:val="center"/>
              <w:rPr>
                <w:rFonts w:hint="eastAsia" w:ascii="宋体" w:hAnsi="宋体" w:eastAsia="宋体" w:cs="宋体"/>
                <w:szCs w:val="21"/>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响应文件格式</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响应文件按谈判文件格式及内容要求签署、盖章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lang w:eastAsia="zh-CN"/>
              </w:rPr>
              <w:t>谈判响应</w:t>
            </w:r>
            <w:r>
              <w:rPr>
                <w:rFonts w:hint="eastAsia" w:ascii="宋体" w:hAnsi="宋体" w:eastAsia="宋体" w:cs="宋体"/>
              </w:rPr>
              <w:t>函</w:t>
            </w:r>
          </w:p>
        </w:tc>
        <w:tc>
          <w:tcPr>
            <w:tcW w:w="6265" w:type="dxa"/>
            <w:vAlign w:val="center"/>
          </w:tcPr>
          <w:p>
            <w:pPr>
              <w:rPr>
                <w:rFonts w:hint="eastAsia" w:ascii="宋体" w:hAnsi="宋体" w:eastAsia="宋体" w:cs="宋体"/>
              </w:rPr>
            </w:pPr>
            <w:r>
              <w:rPr>
                <w:rFonts w:hint="eastAsia" w:ascii="宋体" w:hAnsi="宋体" w:eastAsia="宋体" w:cs="宋体"/>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rPr>
              <w:t>法定代表人资格证明书</w:t>
            </w:r>
          </w:p>
        </w:tc>
        <w:tc>
          <w:tcPr>
            <w:tcW w:w="6265" w:type="dxa"/>
            <w:vAlign w:val="center"/>
          </w:tcPr>
          <w:p>
            <w:pPr>
              <w:rPr>
                <w:rFonts w:hint="eastAsia" w:ascii="宋体" w:hAnsi="宋体" w:eastAsia="宋体" w:cs="宋体"/>
              </w:rPr>
            </w:pPr>
            <w:r>
              <w:rPr>
                <w:rFonts w:hint="eastAsia" w:ascii="宋体" w:hAnsi="宋体" w:eastAsia="宋体" w:cs="宋体"/>
              </w:rPr>
              <w:t>符合谈判文件给定格式及内容,并加盖单位公章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Merge w:val="restart"/>
            <w:vAlign w:val="center"/>
          </w:tcPr>
          <w:p>
            <w:pPr>
              <w:jc w:val="center"/>
              <w:rPr>
                <w:rFonts w:hint="eastAsia" w:ascii="宋体" w:hAnsi="宋体" w:eastAsia="宋体" w:cs="宋体"/>
              </w:rPr>
            </w:pPr>
            <w:r>
              <w:rPr>
                <w:rFonts w:hint="eastAsia" w:ascii="宋体" w:hAnsi="宋体" w:eastAsia="宋体" w:cs="宋体"/>
              </w:rPr>
              <w:t>法定代表人授权委托书</w:t>
            </w:r>
          </w:p>
        </w:tc>
        <w:tc>
          <w:tcPr>
            <w:tcW w:w="6265" w:type="dxa"/>
            <w:vAlign w:val="center"/>
          </w:tcPr>
          <w:p>
            <w:pPr>
              <w:rPr>
                <w:rFonts w:hint="eastAsia" w:ascii="宋体" w:hAnsi="宋体" w:eastAsia="宋体" w:cs="宋体"/>
              </w:rPr>
            </w:pPr>
            <w:r>
              <w:rPr>
                <w:rFonts w:hint="eastAsia" w:ascii="宋体" w:hAnsi="宋体" w:eastAsia="宋体" w:cs="宋体"/>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4"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Merge w:val="continue"/>
            <w:vAlign w:val="center"/>
          </w:tcPr>
          <w:p>
            <w:pPr>
              <w:jc w:val="center"/>
              <w:rPr>
                <w:rFonts w:hint="eastAsia" w:ascii="宋体" w:hAnsi="宋体" w:eastAsia="宋体" w:cs="宋体"/>
              </w:rPr>
            </w:pPr>
          </w:p>
        </w:tc>
        <w:tc>
          <w:tcPr>
            <w:tcW w:w="6265" w:type="dxa"/>
            <w:vAlign w:val="center"/>
          </w:tcPr>
          <w:p>
            <w:pPr>
              <w:rPr>
                <w:rFonts w:hint="eastAsia" w:ascii="宋体" w:hAnsi="宋体" w:eastAsia="宋体" w:cs="宋体"/>
              </w:rPr>
            </w:pPr>
            <w:r>
              <w:rPr>
                <w:rFonts w:hint="eastAsia" w:ascii="宋体" w:hAnsi="宋体" w:eastAsia="宋体" w:cs="宋体"/>
              </w:rPr>
              <w:t>注：响应文件（包括评审过程中的澄清、说明或者补正）由法定代表人签署的，不审查该项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rPr>
            </w:pPr>
            <w:r>
              <w:rPr>
                <w:rFonts w:hint="eastAsia" w:ascii="宋体" w:hAnsi="宋体" w:eastAsia="宋体" w:cs="宋体"/>
                <w:szCs w:val="21"/>
              </w:rPr>
              <w:t>投标报价</w:t>
            </w:r>
          </w:p>
        </w:tc>
        <w:tc>
          <w:tcPr>
            <w:tcW w:w="6265" w:type="dxa"/>
            <w:vAlign w:val="center"/>
          </w:tcPr>
          <w:p>
            <w:pPr>
              <w:rPr>
                <w:rFonts w:hint="eastAsia" w:ascii="宋体" w:hAnsi="宋体" w:eastAsia="宋体" w:cs="宋体"/>
              </w:rPr>
            </w:pPr>
            <w:r>
              <w:rPr>
                <w:rFonts w:hint="eastAsia" w:ascii="宋体" w:hAnsi="宋体" w:eastAsia="宋体" w:cs="宋体"/>
              </w:rPr>
              <w:t>报价唯一</w:t>
            </w:r>
            <w:r>
              <w:rPr>
                <w:rFonts w:hint="eastAsia" w:ascii="宋体" w:hAnsi="宋体" w:eastAsia="宋体" w:cs="宋体"/>
                <w:szCs w:val="21"/>
              </w:rPr>
              <w:t>且不得高于采购预算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9"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实质性响应文件内容</w:t>
            </w:r>
          </w:p>
        </w:tc>
        <w:tc>
          <w:tcPr>
            <w:tcW w:w="6265" w:type="dxa"/>
            <w:vAlign w:val="center"/>
          </w:tcPr>
          <w:p>
            <w:pPr>
              <w:rPr>
                <w:rFonts w:hint="eastAsia" w:ascii="宋体" w:hAnsi="宋体" w:eastAsia="宋体" w:cs="宋体"/>
              </w:rPr>
            </w:pPr>
            <w:r>
              <w:rPr>
                <w:rFonts w:hint="eastAsia" w:ascii="宋体" w:hAnsi="宋体" w:eastAsia="宋体" w:cs="宋体"/>
              </w:rPr>
              <w:t>实质性响应谈判文件商务及技术要求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4"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投标有效期</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符合第二章“供应商须知”相关规定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trPr>
        <w:tc>
          <w:tcPr>
            <w:tcW w:w="817" w:type="dxa"/>
            <w:vMerge w:val="continue"/>
            <w:vAlign w:val="center"/>
          </w:tcPr>
          <w:p>
            <w:pPr>
              <w:rPr>
                <w:rFonts w:hint="eastAsia" w:ascii="宋体" w:hAnsi="宋体" w:eastAsia="宋体" w:cs="宋体"/>
              </w:rPr>
            </w:pPr>
          </w:p>
        </w:tc>
        <w:tc>
          <w:tcPr>
            <w:tcW w:w="817" w:type="dxa"/>
            <w:vMerge w:val="continue"/>
            <w:vAlign w:val="center"/>
          </w:tcPr>
          <w:p>
            <w:pPr>
              <w:rPr>
                <w:rFonts w:hint="eastAsia" w:ascii="宋体" w:hAnsi="宋体" w:eastAsia="宋体" w:cs="宋体"/>
              </w:rPr>
            </w:pPr>
          </w:p>
        </w:tc>
        <w:tc>
          <w:tcPr>
            <w:tcW w:w="1397" w:type="dxa"/>
            <w:vAlign w:val="center"/>
          </w:tcPr>
          <w:p>
            <w:pPr>
              <w:jc w:val="center"/>
              <w:rPr>
                <w:rFonts w:hint="eastAsia" w:ascii="宋体" w:hAnsi="宋体" w:eastAsia="宋体" w:cs="宋体"/>
                <w:szCs w:val="21"/>
              </w:rPr>
            </w:pPr>
            <w:r>
              <w:rPr>
                <w:rFonts w:hint="eastAsia" w:ascii="宋体" w:hAnsi="宋体" w:eastAsia="宋体" w:cs="宋体"/>
                <w:szCs w:val="21"/>
              </w:rPr>
              <w:t>投标是否有效</w:t>
            </w:r>
          </w:p>
        </w:tc>
        <w:tc>
          <w:tcPr>
            <w:tcW w:w="6265" w:type="dxa"/>
            <w:vAlign w:val="center"/>
          </w:tcPr>
          <w:p>
            <w:pPr>
              <w:rPr>
                <w:rFonts w:hint="eastAsia" w:ascii="宋体" w:hAnsi="宋体" w:eastAsia="宋体" w:cs="宋体"/>
                <w:szCs w:val="21"/>
              </w:rPr>
            </w:pPr>
            <w:r>
              <w:rPr>
                <w:rFonts w:hint="eastAsia" w:ascii="宋体" w:hAnsi="宋体" w:eastAsia="宋体" w:cs="宋体"/>
                <w:szCs w:val="21"/>
              </w:rPr>
              <w:t>无谈判文件规定的其他投标无效情形</w:t>
            </w:r>
          </w:p>
        </w:tc>
      </w:tr>
      <w:bookmarkEnd w:id="238"/>
      <w:bookmarkEnd w:id="239"/>
    </w:tbl>
    <w:p>
      <w:pPr>
        <w:rPr>
          <w:rFonts w:hint="eastAsia" w:ascii="宋体" w:hAnsi="宋体" w:eastAsia="宋体" w:cs="宋体"/>
          <w:sz w:val="24"/>
        </w:rPr>
      </w:pPr>
      <w:bookmarkStart w:id="240" w:name="_Toc468805876"/>
      <w:bookmarkStart w:id="241" w:name="_Toc9044"/>
      <w:bookmarkStart w:id="242" w:name="_Toc11788_WPSOffice_Level3"/>
      <w:bookmarkStart w:id="243" w:name="_Toc19784_WPSOffice_Level2"/>
    </w:p>
    <w:p>
      <w:pPr>
        <w:rPr>
          <w:rFonts w:hint="eastAsia" w:ascii="宋体" w:hAnsi="宋体" w:eastAsia="宋体" w:cs="宋体"/>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评审方法</w:t>
      </w:r>
      <w:bookmarkEnd w:id="240"/>
      <w:bookmarkEnd w:id="241"/>
      <w:bookmarkEnd w:id="242"/>
      <w:bookmarkEnd w:id="243"/>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本次评审采用最低评标价法。谈判小组对通过资格审查、符合性审查的响应文件，从质量和服务均能满足谈判文件实质性响应要求的供应商中，按照最后报价由低到高的顺序推荐成交候选人。</w:t>
      </w:r>
    </w:p>
    <w:p>
      <w:pPr>
        <w:spacing w:line="460" w:lineRule="exact"/>
        <w:rPr>
          <w:rFonts w:hint="eastAsia" w:ascii="宋体" w:hAnsi="宋体" w:eastAsia="宋体" w:cs="宋体"/>
          <w:sz w:val="24"/>
        </w:rPr>
      </w:pPr>
      <w:bookmarkStart w:id="244" w:name="_Toc29700_WPSOffice_Level3"/>
      <w:bookmarkStart w:id="245" w:name="_Toc468805877"/>
      <w:bookmarkStart w:id="246" w:name="_Toc27224_WPSOffice_Level2"/>
      <w:bookmarkStart w:id="247" w:name="_Toc14379"/>
      <w:r>
        <w:rPr>
          <w:rFonts w:hint="eastAsia" w:ascii="宋体" w:hAnsi="宋体" w:eastAsia="宋体" w:cs="宋体"/>
          <w:sz w:val="24"/>
          <w:lang w:val="en-US" w:eastAsia="zh-CN"/>
        </w:rPr>
        <w:t>2、</w:t>
      </w:r>
      <w:r>
        <w:rPr>
          <w:rFonts w:hint="eastAsia" w:ascii="宋体" w:hAnsi="宋体" w:eastAsia="宋体" w:cs="宋体"/>
          <w:sz w:val="24"/>
        </w:rPr>
        <w:t>评审标准</w:t>
      </w:r>
      <w:bookmarkEnd w:id="244"/>
      <w:bookmarkEnd w:id="245"/>
      <w:bookmarkEnd w:id="246"/>
      <w:bookmarkEnd w:id="247"/>
    </w:p>
    <w:p>
      <w:pPr>
        <w:spacing w:line="46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资格审查标准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资格审查标准：依据法律法规和谈判文件的规定，对响应文件中的资格条件以及证明文件、谈判保证金等进行审查，以确定供应商是否具备投标资格；见评审办法前附表。</w:t>
      </w:r>
    </w:p>
    <w:p>
      <w:pPr>
        <w:spacing w:line="460" w:lineRule="exact"/>
        <w:ind w:firstLine="480" w:firstLineChars="200"/>
        <w:rPr>
          <w:rFonts w:hint="eastAsia" w:ascii="宋体" w:hAnsi="宋体" w:eastAsia="宋体" w:cs="宋体"/>
          <w:sz w:val="24"/>
        </w:rPr>
      </w:pPr>
      <w:bookmarkStart w:id="248" w:name="_Toc25712_WPSOffice_Level3"/>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符合性审查</w:t>
      </w:r>
      <w:bookmarkEnd w:id="248"/>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符合性审查标准：依据谈判文件的规定，对资格审查合格的响应文件从响应文件的有效性、完整性和对谈判文件的响应程度进行审查，以确定是否对谈判文件的实质性要求作出响应；见评审办法前附表。</w:t>
      </w:r>
    </w:p>
    <w:p>
      <w:pPr>
        <w:numPr>
          <w:ilvl w:val="0"/>
          <w:numId w:val="0"/>
        </w:numPr>
        <w:spacing w:line="460" w:lineRule="exact"/>
        <w:rPr>
          <w:rFonts w:hint="eastAsia" w:ascii="宋体" w:hAnsi="宋体" w:eastAsia="宋体" w:cs="宋体"/>
          <w:sz w:val="24"/>
        </w:rPr>
      </w:pPr>
      <w:bookmarkStart w:id="249" w:name="_Toc468805880"/>
      <w:bookmarkStart w:id="250" w:name="_Toc32004_WPSOffice_Level3"/>
      <w:bookmarkStart w:id="251" w:name="_Toc9155_WPSOffice_Level2"/>
      <w:bookmarkStart w:id="252" w:name="_Toc10863"/>
      <w:r>
        <w:rPr>
          <w:rFonts w:hint="eastAsia" w:ascii="宋体" w:hAnsi="宋体" w:eastAsia="宋体" w:cs="宋体"/>
          <w:sz w:val="24"/>
          <w:lang w:val="en-US" w:eastAsia="zh-CN"/>
        </w:rPr>
        <w:t>3、</w:t>
      </w:r>
      <w:r>
        <w:rPr>
          <w:rFonts w:hint="eastAsia" w:ascii="宋体" w:hAnsi="宋体" w:eastAsia="宋体" w:cs="宋体"/>
          <w:sz w:val="24"/>
        </w:rPr>
        <w:t>评审程序</w:t>
      </w:r>
      <w:bookmarkEnd w:id="249"/>
      <w:bookmarkEnd w:id="250"/>
      <w:bookmarkEnd w:id="251"/>
      <w:bookmarkEnd w:id="252"/>
    </w:p>
    <w:p>
      <w:pPr>
        <w:numPr>
          <w:ilvl w:val="0"/>
          <w:numId w:val="0"/>
        </w:numPr>
        <w:spacing w:line="4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2"/>
          <w:sz w:val="24"/>
          <w:szCs w:val="24"/>
          <w:lang w:val="en-US" w:eastAsia="zh-CN" w:bidi="ar-SA"/>
        </w:rPr>
        <w:t>资格审查</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谈判小组依据本章第1项规定的标准对响应文件进行资格审查。有一项不符合审查标准的，投标无效。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注：合格供应商不足3家的，不再进入评审程序，作废标处理。</w:t>
      </w:r>
    </w:p>
    <w:p>
      <w:pPr>
        <w:spacing w:line="460" w:lineRule="exact"/>
        <w:ind w:firstLine="480" w:firstLineChars="200"/>
        <w:rPr>
          <w:rFonts w:hint="eastAsia" w:ascii="宋体" w:hAnsi="宋体" w:eastAsia="宋体" w:cs="宋体"/>
          <w:sz w:val="24"/>
        </w:rPr>
      </w:pPr>
      <w:bookmarkStart w:id="253" w:name="_Toc10065_WPSOffice_Level3"/>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符合性审查</w:t>
      </w:r>
      <w:bookmarkEnd w:id="253"/>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谈判小组依据本章第2项规定的标准对资格审查合格的响应文件进行符合性审查。有一项不符合评审标准的，投标无效。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提供相同品牌产品（核心产品）且通过资格审查、符合性审查的不同供应商参加同一合同项下投标的，按一家供应商计算；报价相同的，按照最有利于采购人利益的原则，由谈判小组综合评定后确定一个供应商获得成交候选人推荐资格，其他同品牌供应商不作为成交候选人。</w:t>
      </w:r>
    </w:p>
    <w:p>
      <w:pPr>
        <w:spacing w:line="460" w:lineRule="exact"/>
        <w:ind w:firstLine="480" w:firstLineChars="200"/>
        <w:rPr>
          <w:rFonts w:hint="eastAsia" w:ascii="宋体" w:hAnsi="宋体" w:eastAsia="宋体" w:cs="宋体"/>
          <w:sz w:val="24"/>
        </w:rPr>
      </w:pPr>
      <w:bookmarkStart w:id="254" w:name="_Toc468805883"/>
      <w:r>
        <w:rPr>
          <w:rFonts w:hint="eastAsia" w:ascii="宋体" w:hAnsi="宋体" w:eastAsia="宋体" w:cs="宋体"/>
          <w:b w:val="0"/>
          <w:bCs w:val="0"/>
          <w:sz w:val="24"/>
          <w:lang w:val="en-US" w:eastAsia="zh-CN"/>
        </w:rPr>
        <w:t>注意：</w:t>
      </w:r>
      <w:r>
        <w:rPr>
          <w:rFonts w:hint="eastAsia" w:ascii="宋体" w:hAnsi="宋体" w:eastAsia="宋体" w:cs="宋体"/>
          <w:b w:val="0"/>
          <w:bCs w:val="0"/>
          <w:sz w:val="24"/>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spacing w:line="460" w:lineRule="exact"/>
        <w:ind w:firstLine="480" w:firstLineChars="200"/>
        <w:rPr>
          <w:rFonts w:hint="eastAsia" w:ascii="宋体" w:hAnsi="宋体" w:eastAsia="宋体" w:cs="宋体"/>
          <w:sz w:val="24"/>
        </w:rPr>
      </w:pPr>
      <w:bookmarkStart w:id="255" w:name="_Toc19784_WPSOffice_Level3"/>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响应文件的澄清原则</w:t>
      </w:r>
      <w:bookmarkEnd w:id="254"/>
      <w:bookmarkEnd w:id="255"/>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在评审过程中，谈判小组可以书面形式（应当由谈判小组专家签字）要求供应商对所提交的响应文件中含义不明确、同类问题表述不一致或者有明显文字和计算错误的内容，进行澄清、说明或者补正。谈判小组不接受供应商主动提出的澄清、说明或补正。</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供应商的澄清、说明和补正应当采用书面形式，并加盖公章，或者由法定代表人或其授权的代表签字。供应商的澄清、说明或者补正不得超出响应文件的范围或者改变响应文件的实质性内容。供应商的书面澄清、说明和补正属于响应文件的组成部分。</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谈判小组对供应商提交的澄清、说明或补正有疑问的，可以要求供应商进一步澄清、说明或补正，直至满足谈判小组的要求。</w:t>
      </w:r>
    </w:p>
    <w:p>
      <w:pPr>
        <w:spacing w:line="460" w:lineRule="exact"/>
        <w:ind w:firstLine="480" w:firstLineChars="200"/>
        <w:rPr>
          <w:rFonts w:hint="eastAsia" w:ascii="宋体" w:hAnsi="宋体" w:eastAsia="宋体" w:cs="宋体"/>
          <w:sz w:val="24"/>
        </w:rPr>
      </w:pPr>
      <w:bookmarkStart w:id="256" w:name="_Toc27224_WPSOffice_Level3"/>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供应商有以下情形之一的，其投标无效：</w:t>
      </w:r>
      <w:bookmarkEnd w:id="256"/>
    </w:p>
    <w:p>
      <w:pPr>
        <w:spacing w:line="460" w:lineRule="exact"/>
        <w:ind w:firstLine="720" w:firstLineChars="300"/>
        <w:rPr>
          <w:rFonts w:hint="eastAsia" w:ascii="宋体" w:hAnsi="宋体" w:eastAsia="宋体" w:cs="宋体"/>
          <w:sz w:val="24"/>
        </w:rPr>
      </w:pPr>
      <w:r>
        <w:rPr>
          <w:rFonts w:hint="eastAsia" w:ascii="宋体" w:hAnsi="宋体" w:eastAsia="宋体" w:cs="宋体"/>
          <w:sz w:val="24"/>
        </w:rPr>
        <w:t>1）串通投标或弄虚作假或有其他违法行为的；</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rPr>
        <w:t>2）不按谈判小组要求澄清、说明或补正的。</w:t>
      </w:r>
    </w:p>
    <w:p>
      <w:pPr>
        <w:spacing w:line="460" w:lineRule="exact"/>
        <w:ind w:firstLine="480" w:firstLineChars="200"/>
        <w:rPr>
          <w:rFonts w:hint="eastAsia" w:ascii="宋体" w:hAnsi="宋体" w:eastAsia="宋体" w:cs="宋体"/>
          <w:sz w:val="24"/>
        </w:rPr>
      </w:pPr>
      <w:bookmarkStart w:id="257" w:name="_Toc9155_WPSOffice_Level3"/>
      <w:bookmarkStart w:id="258" w:name="_Toc468805884"/>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评审结果</w:t>
      </w:r>
      <w:bookmarkEnd w:id="257"/>
      <w:bookmarkEnd w:id="258"/>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谈判小组对通过资格审查、符合性审查的响应文件，从质量和服务均能满足谈判文件实质性响应要求的供应商中，按照最后报价由低到高的顺序推荐1-3名成交候选人，并提出书面评审报告。</w:t>
      </w:r>
    </w:p>
    <w:p>
      <w:pPr>
        <w:spacing w:line="46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采购人根据谈判小组提出的书面评审报告和推荐的成交候选人名单，确定成交供应商。</w:t>
      </w:r>
    </w:p>
    <w:p>
      <w:pPr>
        <w:spacing w:line="460" w:lineRule="exact"/>
        <w:ind w:firstLine="720" w:firstLineChars="300"/>
        <w:rPr>
          <w:rFonts w:hint="eastAsia" w:ascii="宋体" w:hAnsi="宋体" w:eastAsia="宋体" w:cs="宋体"/>
          <w:sz w:val="24"/>
        </w:rPr>
      </w:pPr>
    </w:p>
    <w:p>
      <w:pPr>
        <w:spacing w:line="460" w:lineRule="exact"/>
        <w:ind w:firstLine="720" w:firstLineChars="300"/>
        <w:rPr>
          <w:rFonts w:hint="eastAsia" w:ascii="宋体" w:hAnsi="宋体" w:eastAsia="宋体" w:cs="宋体"/>
          <w:sz w:val="24"/>
        </w:rPr>
      </w:pPr>
    </w:p>
    <w:p>
      <w:pPr>
        <w:keepNext/>
        <w:keepLines/>
        <w:widowControl w:val="0"/>
        <w:tabs>
          <w:tab w:val="left" w:pos="360"/>
        </w:tabs>
        <w:adjustRightInd w:val="0"/>
        <w:spacing w:before="120" w:line="360" w:lineRule="auto"/>
        <w:ind w:left="0" w:firstLine="0"/>
        <w:jc w:val="center"/>
        <w:textAlignment w:val="baseline"/>
        <w:outlineLvl w:val="0"/>
        <w:rPr>
          <w:rFonts w:hint="eastAsia" w:ascii="宋体" w:hAnsi="宋体" w:eastAsia="宋体" w:cs="宋体"/>
          <w:b/>
          <w:bCs/>
          <w:kern w:val="44"/>
          <w:sz w:val="32"/>
          <w:szCs w:val="32"/>
          <w:lang w:val="en-US" w:eastAsia="zh-CN" w:bidi="ar-SA"/>
        </w:rPr>
        <w:sectPr>
          <w:pgSz w:w="11906" w:h="16838"/>
          <w:pgMar w:top="1440" w:right="1800" w:bottom="1440" w:left="1800" w:header="851" w:footer="992" w:gutter="0"/>
          <w:cols w:space="425" w:num="1"/>
          <w:docGrid w:type="lines" w:linePitch="312" w:charSpace="0"/>
        </w:sectPr>
      </w:pPr>
      <w:bookmarkStart w:id="259" w:name="_Toc9761_WPSOffice_Level1"/>
      <w:bookmarkStart w:id="260" w:name="_Toc57104298"/>
      <w:bookmarkStart w:id="261" w:name="_第八章_政府采购供应商质疑函范本"/>
      <w:bookmarkStart w:id="262" w:name="_Toc59718140"/>
      <w:bookmarkStart w:id="263" w:name="_Toc26723_WPSOffice_Level2"/>
      <w:bookmarkStart w:id="264" w:name="_Toc60996703"/>
    </w:p>
    <w:bookmarkEnd w:id="259"/>
    <w:bookmarkEnd w:id="260"/>
    <w:bookmarkEnd w:id="261"/>
    <w:bookmarkEnd w:id="262"/>
    <w:bookmarkEnd w:id="263"/>
    <w:bookmarkEnd w:id="264"/>
    <w:p>
      <w:pPr>
        <w:widowControl w:val="0"/>
        <w:autoSpaceDE w:val="0"/>
        <w:autoSpaceDN w:val="0"/>
        <w:adjustRightInd w:val="0"/>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注：此表不需装入申请文件中，请自备1-2份签字、盖章后带到谈判现场备用。</w:t>
      </w:r>
    </w:p>
    <w:p>
      <w:pPr>
        <w:bidi w:val="0"/>
        <w:jc w:val="center"/>
        <w:rPr>
          <w:rFonts w:hint="eastAsia"/>
          <w:b/>
          <w:bCs/>
          <w:sz w:val="32"/>
          <w:szCs w:val="32"/>
          <w:lang w:val="en-US" w:eastAsia="zh-CN"/>
        </w:rPr>
      </w:pPr>
      <w:bookmarkStart w:id="265" w:name="_Toc69989552"/>
      <w:r>
        <w:rPr>
          <w:rFonts w:hint="eastAsia"/>
          <w:b/>
          <w:bCs/>
          <w:sz w:val="32"/>
          <w:szCs w:val="32"/>
          <w:lang w:val="en-US" w:eastAsia="zh-CN"/>
        </w:rPr>
        <w:t>二次报价表（最终报价）</w:t>
      </w:r>
      <w:bookmarkEnd w:id="265"/>
    </w:p>
    <w:p>
      <w:pPr>
        <w:spacing w:line="360" w:lineRule="auto"/>
        <w:jc w:val="center"/>
        <w:rPr>
          <w:rFonts w:hint="eastAsia" w:ascii="宋体" w:hAnsi="宋体" w:eastAsia="宋体" w:cs="宋体"/>
          <w:b/>
          <w:bCs/>
          <w:sz w:val="28"/>
          <w:szCs w:val="28"/>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p>
    <w:tbl>
      <w:tblPr>
        <w:tblStyle w:val="11"/>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94"/>
        <w:gridCol w:w="2339"/>
        <w:gridCol w:w="2268"/>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3396" w:type="dxa"/>
            <w:gridSpan w:val="2"/>
            <w:noWrap/>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总报价</w:t>
            </w:r>
          </w:p>
        </w:tc>
        <w:tc>
          <w:tcPr>
            <w:tcW w:w="2339"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服务期</w:t>
            </w:r>
          </w:p>
        </w:tc>
        <w:tc>
          <w:tcPr>
            <w:tcW w:w="2268"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供货期</w:t>
            </w:r>
          </w:p>
        </w:tc>
        <w:tc>
          <w:tcPr>
            <w:tcW w:w="2186" w:type="dxa"/>
            <w:noWrap/>
            <w:vAlign w:val="center"/>
          </w:tcPr>
          <w:p>
            <w:pPr>
              <w:spacing w:line="400" w:lineRule="exact"/>
              <w:ind w:firstLine="2" w:firstLineChars="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96" w:type="dxa"/>
            <w:gridSpan w:val="2"/>
            <w:noWrap/>
            <w:vAlign w:val="center"/>
          </w:tcPr>
          <w:p>
            <w:pPr>
              <w:spacing w:line="400" w:lineRule="exact"/>
              <w:rPr>
                <w:rFonts w:hint="eastAsia" w:ascii="宋体" w:hAnsi="宋体" w:eastAsia="宋体" w:cs="宋体"/>
                <w:szCs w:val="21"/>
              </w:rPr>
            </w:pPr>
            <w:r>
              <w:rPr>
                <w:rFonts w:hint="eastAsia" w:ascii="宋体" w:hAnsi="宋体" w:eastAsia="宋体" w:cs="宋体"/>
                <w:szCs w:val="21"/>
              </w:rPr>
              <w:t>小写：</w:t>
            </w:r>
          </w:p>
          <w:p>
            <w:pPr>
              <w:spacing w:line="400" w:lineRule="exact"/>
              <w:rPr>
                <w:rFonts w:hint="eastAsia" w:ascii="宋体" w:hAnsi="宋体" w:eastAsia="宋体" w:cs="宋体"/>
                <w:szCs w:val="21"/>
              </w:rPr>
            </w:pPr>
            <w:r>
              <w:rPr>
                <w:rFonts w:hint="eastAsia" w:ascii="宋体" w:hAnsi="宋体" w:eastAsia="宋体" w:cs="宋体"/>
                <w:szCs w:val="21"/>
              </w:rPr>
              <w:t>大写：</w:t>
            </w:r>
          </w:p>
        </w:tc>
        <w:tc>
          <w:tcPr>
            <w:tcW w:w="2339" w:type="dxa"/>
            <w:noWrap/>
            <w:vAlign w:val="center"/>
          </w:tcPr>
          <w:p>
            <w:pPr>
              <w:spacing w:line="400" w:lineRule="exact"/>
              <w:rPr>
                <w:rFonts w:hint="eastAsia" w:ascii="宋体" w:hAnsi="宋体" w:eastAsia="宋体" w:cs="宋体"/>
                <w:szCs w:val="21"/>
              </w:rPr>
            </w:pPr>
          </w:p>
        </w:tc>
        <w:tc>
          <w:tcPr>
            <w:tcW w:w="2268" w:type="dxa"/>
            <w:noWrap/>
          </w:tcPr>
          <w:p>
            <w:pPr>
              <w:widowControl w:val="0"/>
              <w:spacing w:line="400" w:lineRule="exact"/>
              <w:jc w:val="both"/>
              <w:rPr>
                <w:rFonts w:hint="eastAsia" w:ascii="宋体" w:hAnsi="宋体" w:eastAsia="宋体" w:cs="宋体"/>
                <w:kern w:val="2"/>
                <w:sz w:val="21"/>
                <w:szCs w:val="20"/>
                <w:lang w:val="en-US" w:eastAsia="zh-CN" w:bidi="ar-SA"/>
              </w:rPr>
            </w:pPr>
          </w:p>
        </w:tc>
        <w:tc>
          <w:tcPr>
            <w:tcW w:w="2186" w:type="dxa"/>
            <w:noWrap/>
            <w:vAlign w:val="center"/>
          </w:tcPr>
          <w:p>
            <w:pPr>
              <w:widowControl w:val="0"/>
              <w:spacing w:line="400" w:lineRule="exact"/>
              <w:jc w:val="center"/>
              <w:rPr>
                <w:rFonts w:hint="eastAsia" w:ascii="宋体" w:hAnsi="宋体" w:eastAsia="宋体" w:cs="宋体"/>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jc w:val="center"/>
        </w:trPr>
        <w:tc>
          <w:tcPr>
            <w:tcW w:w="1402" w:type="dxa"/>
            <w:noWrap/>
          </w:tcPr>
          <w:p>
            <w:pPr>
              <w:spacing w:line="400" w:lineRule="exact"/>
              <w:ind w:firstLine="2" w:firstLineChars="1"/>
              <w:rPr>
                <w:rFonts w:hint="eastAsia" w:ascii="宋体" w:hAnsi="宋体" w:eastAsia="宋体" w:cs="宋体"/>
                <w:szCs w:val="21"/>
              </w:rPr>
            </w:pPr>
          </w:p>
        </w:tc>
        <w:tc>
          <w:tcPr>
            <w:tcW w:w="8787" w:type="dxa"/>
            <w:gridSpan w:val="4"/>
            <w:noWrap/>
            <w:vAlign w:val="center"/>
          </w:tcPr>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供应商：（盖单位公章）</w:t>
            </w:r>
          </w:p>
          <w:p>
            <w:pPr>
              <w:spacing w:line="400" w:lineRule="exact"/>
              <w:ind w:firstLine="2" w:firstLineChars="1"/>
              <w:rPr>
                <w:rFonts w:hint="eastAsia" w:ascii="宋体" w:hAnsi="宋体" w:eastAsia="宋体" w:cs="宋体"/>
                <w:szCs w:val="21"/>
              </w:rPr>
            </w:pPr>
            <w:r>
              <w:rPr>
                <w:rFonts w:hint="eastAsia" w:ascii="宋体" w:hAnsi="宋体" w:eastAsia="宋体" w:cs="宋体"/>
                <w:szCs w:val="21"/>
              </w:rPr>
              <w:t>法定代表人或其委托代理人：（签字或盖章）</w:t>
            </w:r>
          </w:p>
          <w:p>
            <w:pPr>
              <w:adjustRightInd w:val="0"/>
              <w:snapToGrid w:val="0"/>
              <w:spacing w:line="400" w:lineRule="exact"/>
              <w:rPr>
                <w:rFonts w:hint="eastAsia" w:ascii="宋体" w:hAnsi="宋体" w:eastAsia="宋体" w:cs="宋体"/>
                <w:b/>
                <w:szCs w:val="21"/>
              </w:rPr>
            </w:pPr>
            <w:r>
              <w:rPr>
                <w:rFonts w:hint="eastAsia" w:ascii="宋体" w:hAnsi="宋体" w:eastAsia="宋体" w:cs="宋体"/>
                <w:szCs w:val="21"/>
              </w:rPr>
              <w:t>日期：年  月    日</w:t>
            </w:r>
          </w:p>
          <w:p>
            <w:pPr>
              <w:widowControl w:val="0"/>
              <w:spacing w:line="400" w:lineRule="exact"/>
              <w:jc w:val="center"/>
              <w:rPr>
                <w:rFonts w:hint="eastAsia" w:ascii="宋体" w:hAnsi="宋体" w:eastAsia="宋体" w:cs="宋体"/>
                <w:kern w:val="2"/>
                <w:sz w:val="21"/>
                <w:szCs w:val="20"/>
                <w:lang w:val="en-US" w:eastAsia="zh-CN" w:bidi="ar-SA"/>
              </w:rPr>
            </w:pPr>
          </w:p>
        </w:tc>
      </w:tr>
    </w:tbl>
    <w:p>
      <w:pPr>
        <w:widowControl w:val="0"/>
        <w:spacing w:line="400" w:lineRule="exact"/>
        <w:jc w:val="both"/>
        <w:rPr>
          <w:rFonts w:hint="eastAsia" w:ascii="宋体" w:hAnsi="宋体" w:eastAsia="宋体" w:cs="宋体"/>
          <w:kern w:val="2"/>
          <w:sz w:val="21"/>
          <w:szCs w:val="20"/>
          <w:lang w:val="en-US" w:eastAsia="zh-CN" w:bidi="ar-SA"/>
        </w:rPr>
      </w:pPr>
    </w:p>
    <w:p>
      <w:pPr>
        <w:widowControl w:val="0"/>
        <w:spacing w:line="400" w:lineRule="exact"/>
        <w:jc w:val="both"/>
        <w:rPr>
          <w:rFonts w:hint="eastAsia" w:ascii="宋体" w:hAnsi="宋体" w:eastAsia="宋体" w:cs="宋体"/>
          <w:kern w:val="2"/>
          <w:sz w:val="21"/>
          <w:szCs w:val="20"/>
          <w:lang w:val="en-US" w:eastAsia="zh-CN" w:bidi="ar-SA"/>
        </w:rPr>
      </w:pPr>
    </w:p>
    <w:p>
      <w:pPr>
        <w:adjustRightInd w:val="0"/>
        <w:snapToGrid w:val="0"/>
        <w:spacing w:line="400" w:lineRule="exact"/>
        <w:ind w:left="-88" w:leftChars="-42"/>
        <w:rPr>
          <w:rFonts w:hint="eastAsia" w:ascii="宋体" w:hAnsi="宋体" w:eastAsia="宋体" w:cs="宋体"/>
          <w:szCs w:val="21"/>
        </w:rPr>
      </w:pPr>
    </w:p>
    <w:p>
      <w:pPr>
        <w:shd w:val="clear" w:color="auto" w:fill="FFFFFF"/>
        <w:snapToGrid w:val="0"/>
        <w:spacing w:line="400" w:lineRule="exact"/>
        <w:ind w:left="851" w:hanging="851"/>
        <w:rPr>
          <w:rFonts w:hint="eastAsia" w:ascii="宋体" w:hAnsi="宋体" w:eastAsia="宋体" w:cs="宋体"/>
          <w:sz w:val="24"/>
        </w:rPr>
      </w:pPr>
      <w:r>
        <w:rPr>
          <w:rFonts w:hint="eastAsia" w:ascii="宋体" w:hAnsi="宋体" w:eastAsia="宋体" w:cs="宋体"/>
          <w:sz w:val="24"/>
        </w:rPr>
        <w:t> </w:t>
      </w:r>
    </w:p>
    <w:p>
      <w:pPr>
        <w:widowControl w:val="0"/>
        <w:spacing w:line="360" w:lineRule="auto"/>
        <w:jc w:val="both"/>
        <w:rPr>
          <w:rFonts w:hint="eastAsia" w:ascii="宋体" w:hAnsi="宋体" w:eastAsia="宋体" w:cs="宋体"/>
          <w:kern w:val="2"/>
          <w:sz w:val="21"/>
          <w:szCs w:val="21"/>
          <w:lang w:val="en-US" w:eastAsia="zh-CN" w:bidi="ar-SA"/>
        </w:rPr>
      </w:pPr>
    </w:p>
    <w:p>
      <w:pPr>
        <w:widowControl w:val="0"/>
        <w:spacing w:line="360" w:lineRule="auto"/>
        <w:jc w:val="both"/>
        <w:rPr>
          <w:rFonts w:hint="eastAsia" w:ascii="宋体" w:hAnsi="宋体" w:eastAsia="宋体" w:cs="宋体"/>
          <w:kern w:val="2"/>
          <w:sz w:val="21"/>
          <w:szCs w:val="21"/>
          <w:lang w:val="en-US" w:eastAsia="zh-CN" w:bidi="ar-SA"/>
        </w:rPr>
      </w:pPr>
    </w:p>
    <w:p>
      <w:pPr>
        <w:rPr>
          <w:rFonts w:hint="eastAsia" w:ascii="宋体" w:hAnsi="宋体" w:eastAsia="宋体" w:cs="宋体"/>
          <w:sz w:val="24"/>
        </w:rPr>
      </w:pPr>
    </w:p>
    <w:p>
      <w:pPr>
        <w:keepNext/>
        <w:widowControl w:val="0"/>
        <w:tabs>
          <w:tab w:val="left" w:pos="360"/>
          <w:tab w:val="left" w:pos="1021"/>
        </w:tabs>
        <w:adjustRightInd w:val="0"/>
        <w:spacing w:before="120" w:after="120" w:line="480" w:lineRule="exact"/>
        <w:jc w:val="both"/>
        <w:textAlignment w:val="baseline"/>
        <w:outlineLvl w:val="1"/>
        <w:rPr>
          <w:rFonts w:hint="eastAsia" w:ascii="宋体" w:hAnsi="宋体" w:eastAsia="宋体" w:cs="宋体"/>
          <w:b/>
          <w:kern w:val="0"/>
          <w:sz w:val="36"/>
          <w:szCs w:val="36"/>
          <w:lang w:val="en-US" w:eastAsia="zh-CN" w:bidi="ar-SA"/>
        </w:rPr>
        <w:sectPr>
          <w:pgSz w:w="11906" w:h="16838"/>
          <w:pgMar w:top="1440" w:right="1800" w:bottom="1440" w:left="1800" w:header="851" w:footer="992" w:gutter="0"/>
          <w:cols w:space="425" w:num="1"/>
          <w:docGrid w:type="lines" w:linePitch="312" w:charSpace="0"/>
        </w:sectPr>
      </w:pPr>
      <w:bookmarkStart w:id="266" w:name="_Toc69989553"/>
    </w:p>
    <w:p>
      <w:pPr>
        <w:bidi w:val="0"/>
        <w:jc w:val="center"/>
        <w:rPr>
          <w:rFonts w:hint="eastAsia"/>
          <w:b/>
          <w:bCs/>
          <w:sz w:val="32"/>
          <w:szCs w:val="32"/>
          <w:lang w:val="zh-CN" w:eastAsia="zh-CN"/>
        </w:rPr>
      </w:pPr>
      <w:r>
        <w:rPr>
          <w:rFonts w:hint="eastAsia"/>
          <w:b/>
          <w:bCs/>
          <w:sz w:val="32"/>
          <w:szCs w:val="32"/>
          <w:lang w:val="en-US" w:eastAsia="zh-CN"/>
        </w:rPr>
        <w:t>二次报价明细表</w:t>
      </w:r>
      <w:bookmarkEnd w:id="266"/>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r>
        <w:rPr>
          <w:rFonts w:hint="eastAsia" w:ascii="宋体" w:hAnsi="宋体" w:eastAsia="宋体" w:cs="宋体"/>
          <w:szCs w:val="21"/>
        </w:rPr>
        <w:t xml:space="preserve">      货币单位:元  </w:t>
      </w:r>
    </w:p>
    <w:tbl>
      <w:tblPr>
        <w:tblStyle w:val="11"/>
        <w:tblpPr w:leftFromText="180" w:rightFromText="180" w:vertAnchor="text" w:horzAnchor="page" w:tblpXSpec="center" w:tblpY="579"/>
        <w:tblOverlap w:val="never"/>
        <w:tblW w:w="67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690"/>
        <w:gridCol w:w="1020"/>
        <w:gridCol w:w="1110"/>
        <w:gridCol w:w="1140"/>
        <w:gridCol w:w="825"/>
        <w:gridCol w:w="705"/>
        <w:gridCol w:w="12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vMerge w:val="restart"/>
            <w:tcBorders>
              <w:top w:val="double" w:color="auto" w:sz="4" w:space="0"/>
              <w:left w:val="double" w:color="auto" w:sz="4"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1020" w:type="dxa"/>
            <w:vMerge w:val="restart"/>
            <w:tcBorders>
              <w:top w:val="double" w:color="auto" w:sz="4" w:space="0"/>
              <w:left w:val="single" w:color="auto" w:sz="4" w:space="0"/>
              <w:right w:val="single" w:color="000000" w:sz="6" w:space="0"/>
            </w:tcBorders>
            <w:noWrap/>
            <w:vAlign w:val="center"/>
          </w:tcPr>
          <w:p>
            <w:pPr>
              <w:spacing w:line="400" w:lineRule="exact"/>
              <w:ind w:left="198" w:hanging="198" w:hangingChars="94"/>
              <w:jc w:val="center"/>
              <w:rPr>
                <w:rFonts w:hint="eastAsia" w:ascii="宋体" w:hAnsi="宋体" w:eastAsia="宋体" w:cs="宋体"/>
                <w:b/>
                <w:szCs w:val="21"/>
              </w:rPr>
            </w:pPr>
            <w:r>
              <w:rPr>
                <w:rFonts w:hint="eastAsia" w:ascii="宋体" w:hAnsi="宋体" w:eastAsia="宋体" w:cs="宋体"/>
                <w:b/>
                <w:szCs w:val="21"/>
              </w:rPr>
              <w:t>货物名称</w:t>
            </w:r>
          </w:p>
        </w:tc>
        <w:tc>
          <w:tcPr>
            <w:tcW w:w="1110" w:type="dxa"/>
            <w:vMerge w:val="restart"/>
            <w:tcBorders>
              <w:top w:val="double" w:color="auto" w:sz="4" w:space="0"/>
              <w:left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140" w:type="dxa"/>
            <w:vMerge w:val="restart"/>
            <w:tcBorders>
              <w:top w:val="double" w:color="auto" w:sz="4" w:space="0"/>
              <w:left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数量</w:t>
            </w:r>
          </w:p>
        </w:tc>
        <w:tc>
          <w:tcPr>
            <w:tcW w:w="1530" w:type="dxa"/>
            <w:gridSpan w:val="2"/>
            <w:tcBorders>
              <w:top w:val="doub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价格</w:t>
            </w:r>
          </w:p>
        </w:tc>
        <w:tc>
          <w:tcPr>
            <w:tcW w:w="1215" w:type="dxa"/>
            <w:vMerge w:val="restart"/>
            <w:tcBorders>
              <w:top w:val="double" w:color="auto" w:sz="4" w:space="0"/>
              <w:left w:val="single" w:color="000000" w:sz="6" w:space="0"/>
              <w:right w:val="double" w:color="auto" w:sz="4" w:space="0"/>
            </w:tcBorders>
            <w:noWrap/>
            <w:vAlign w:val="center"/>
          </w:tcPr>
          <w:p>
            <w:pPr>
              <w:tabs>
                <w:tab w:val="left" w:pos="572"/>
              </w:tabs>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7" w:hRule="atLeast"/>
          <w:jc w:val="center"/>
        </w:trPr>
        <w:tc>
          <w:tcPr>
            <w:tcW w:w="690" w:type="dxa"/>
            <w:vMerge w:val="continue"/>
            <w:tcBorders>
              <w:left w:val="double" w:color="auto" w:sz="4"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020" w:type="dxa"/>
            <w:vMerge w:val="continue"/>
            <w:tcBorders>
              <w:left w:val="single" w:color="auto" w:sz="4"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1110" w:type="dxa"/>
            <w:vMerge w:val="continue"/>
            <w:tcBorders>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rPr>
            </w:pPr>
          </w:p>
        </w:tc>
        <w:tc>
          <w:tcPr>
            <w:tcW w:w="1140" w:type="dxa"/>
            <w:vMerge w:val="continue"/>
            <w:tcBorders>
              <w:left w:val="single" w:color="000000" w:sz="6" w:space="0"/>
              <w:bottom w:val="single" w:color="auto" w:sz="4" w:space="0"/>
              <w:right w:val="single" w:color="000000" w:sz="6" w:space="0"/>
            </w:tcBorders>
            <w:noWrap/>
            <w:vAlign w:val="center"/>
          </w:tcPr>
          <w:p>
            <w:pPr>
              <w:spacing w:line="400" w:lineRule="exact"/>
              <w:rPr>
                <w:rFonts w:hint="eastAsia" w:ascii="宋体" w:hAnsi="宋体" w:eastAsia="宋体" w:cs="宋体"/>
              </w:rPr>
            </w:pPr>
          </w:p>
        </w:tc>
        <w:tc>
          <w:tcPr>
            <w:tcW w:w="825" w:type="dxa"/>
            <w:tcBorders>
              <w:top w:val="single" w:color="auto" w:sz="4" w:space="0"/>
              <w:left w:val="single" w:color="000000" w:sz="6" w:space="0"/>
              <w:bottom w:val="single" w:color="auto" w:sz="4" w:space="0"/>
              <w:right w:val="single" w:color="000000" w:sz="6"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单价</w:t>
            </w: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合计</w:t>
            </w: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1</w:t>
            </w:r>
          </w:p>
        </w:tc>
        <w:tc>
          <w:tcPr>
            <w:tcW w:w="1020" w:type="dxa"/>
            <w:tcBorders>
              <w:top w:val="single" w:color="auto" w:sz="4"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auto" w:sz="4"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tcBorders>
              <w:top w:val="single" w:color="auto" w:sz="4" w:space="0"/>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tcBorders>
              <w:top w:val="single" w:color="auto" w:sz="4" w:space="0"/>
              <w:left w:val="single" w:color="000000" w:sz="6" w:space="0"/>
              <w:bottom w:val="single" w:color="auto" w:sz="4"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2</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restart"/>
            <w:tcBorders>
              <w:top w:val="single" w:color="auto" w:sz="4" w:space="0"/>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restart"/>
            <w:tcBorders>
              <w:top w:val="single" w:color="auto" w:sz="4" w:space="0"/>
              <w:left w:val="single" w:color="000000" w:sz="6" w:space="0"/>
              <w:right w:val="double" w:color="auto" w:sz="4" w:space="0"/>
            </w:tcBorders>
            <w:noWrap/>
            <w:vAlign w:val="center"/>
          </w:tcPr>
          <w:p>
            <w:pPr>
              <w:spacing w:line="400" w:lineRule="exact"/>
              <w:jc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r>
              <w:rPr>
                <w:rFonts w:hint="eastAsia" w:ascii="宋体" w:hAnsi="宋体" w:eastAsia="宋体" w:cs="宋体"/>
                <w:b/>
                <w:szCs w:val="21"/>
              </w:rPr>
              <w:t>…</w:t>
            </w: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000000" w:sz="6" w:space="0"/>
              <w:bottom w:val="single" w:color="000000" w:sz="6" w:space="0"/>
              <w:right w:val="sing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1140"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825" w:type="dxa"/>
            <w:tcBorders>
              <w:top w:val="single" w:color="000000" w:sz="6" w:space="0"/>
              <w:left w:val="single" w:color="000000" w:sz="6" w:space="0"/>
              <w:bottom w:val="single" w:color="000000" w:sz="6" w:space="0"/>
              <w:right w:val="single" w:color="000000" w:sz="6" w:space="0"/>
            </w:tcBorders>
            <w:noWrap/>
            <w:vAlign w:val="center"/>
          </w:tcPr>
          <w:p>
            <w:pPr>
              <w:adjustRightInd w:val="0"/>
              <w:snapToGrid w:val="0"/>
              <w:spacing w:line="400" w:lineRule="exact"/>
              <w:ind w:left="907" w:hanging="907"/>
              <w:textAlignment w:val="center"/>
              <w:rPr>
                <w:rFonts w:hint="eastAsia" w:ascii="宋体" w:hAnsi="宋体" w:eastAsia="宋体" w:cs="宋体"/>
                <w:bCs/>
                <w:szCs w:val="21"/>
              </w:rPr>
            </w:pPr>
          </w:p>
        </w:tc>
        <w:tc>
          <w:tcPr>
            <w:tcW w:w="70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bottom w:val="single" w:color="auto" w:sz="4"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double" w:color="auto" w:sz="4"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double" w:color="auto" w:sz="4"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double" w:color="auto" w:sz="4"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double" w:color="auto" w:sz="4"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doub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restart"/>
            <w:tcBorders>
              <w:top w:val="double" w:color="auto" w:sz="4" w:space="0"/>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restart"/>
            <w:tcBorders>
              <w:top w:val="double" w:color="auto" w:sz="4" w:space="0"/>
              <w:left w:val="single" w:color="000000" w:sz="6" w:space="0"/>
              <w:right w:val="double" w:color="auto" w:sz="4" w:space="0"/>
            </w:tcBorders>
            <w:noWrap/>
            <w:vAlign w:val="center"/>
          </w:tcPr>
          <w:p>
            <w:pPr>
              <w:adjustRightInd w:val="0"/>
              <w:snapToGrid w:val="0"/>
              <w:spacing w:line="400" w:lineRule="exact"/>
              <w:ind w:left="907" w:hanging="907"/>
              <w:jc w:val="center"/>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1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jc w:val="center"/>
              <w:rPr>
                <w:rFonts w:hint="eastAsia" w:ascii="宋体" w:hAnsi="宋体" w:eastAsia="宋体" w:cs="宋体"/>
                <w:b/>
                <w:szCs w:val="21"/>
              </w:rPr>
            </w:pPr>
          </w:p>
        </w:tc>
        <w:tc>
          <w:tcPr>
            <w:tcW w:w="1110" w:type="dxa"/>
            <w:tcBorders>
              <w:top w:val="single" w:color="000000" w:sz="6" w:space="0"/>
              <w:left w:val="single" w:color="auto" w:sz="4" w:space="0"/>
              <w:bottom w:val="single" w:color="000000" w:sz="6" w:space="0"/>
              <w:right w:val="single" w:color="auto" w:sz="4" w:space="0"/>
            </w:tcBorders>
            <w:noWrap/>
          </w:tcPr>
          <w:p>
            <w:pPr>
              <w:spacing w:line="400" w:lineRule="exact"/>
              <w:jc w:val="center"/>
              <w:rPr>
                <w:rFonts w:hint="eastAsia" w:ascii="宋体" w:hAnsi="宋体" w:eastAsia="宋体" w:cs="宋体"/>
                <w:b/>
                <w:szCs w:val="21"/>
              </w:rPr>
            </w:pPr>
          </w:p>
        </w:tc>
        <w:tc>
          <w:tcPr>
            <w:tcW w:w="1140" w:type="dxa"/>
            <w:tcBorders>
              <w:top w:val="single" w:color="000000" w:sz="6" w:space="0"/>
              <w:left w:val="single" w:color="auto" w:sz="4" w:space="0"/>
              <w:bottom w:val="single" w:color="000000" w:sz="6" w:space="0"/>
              <w:right w:val="single" w:color="000000" w:sz="6" w:space="0"/>
            </w:tcBorders>
            <w:noWrap/>
          </w:tcPr>
          <w:p>
            <w:pPr>
              <w:spacing w:line="400" w:lineRule="exact"/>
              <w:jc w:val="center"/>
              <w:rPr>
                <w:rFonts w:hint="eastAsia" w:ascii="宋体" w:hAnsi="宋体" w:eastAsia="宋体" w:cs="宋体"/>
                <w:b/>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jc w:val="center"/>
              <w:rPr>
                <w:rFonts w:hint="eastAsia" w:ascii="宋体" w:hAnsi="宋体" w:eastAsia="宋体" w:cs="宋体"/>
                <w:b/>
                <w:szCs w:val="21"/>
              </w:rPr>
            </w:pPr>
          </w:p>
        </w:tc>
        <w:tc>
          <w:tcPr>
            <w:tcW w:w="705" w:type="dxa"/>
            <w:vMerge w:val="continue"/>
            <w:tcBorders>
              <w:left w:val="single" w:color="auto" w:sz="4" w:space="0"/>
              <w:right w:val="double" w:color="auto" w:sz="4" w:space="0"/>
            </w:tcBorders>
            <w:noWrap/>
            <w:vAlign w:val="center"/>
          </w:tcPr>
          <w:p>
            <w:pPr>
              <w:spacing w:line="400" w:lineRule="exact"/>
              <w:jc w:val="center"/>
              <w:rPr>
                <w:rFonts w:hint="eastAsia" w:ascii="宋体" w:hAnsi="宋体" w:eastAsia="宋体" w:cs="宋体"/>
                <w:b/>
                <w:szCs w:val="21"/>
              </w:rPr>
            </w:pPr>
          </w:p>
        </w:tc>
        <w:tc>
          <w:tcPr>
            <w:tcW w:w="1215" w:type="dxa"/>
            <w:vMerge w:val="continue"/>
            <w:tcBorders>
              <w:left w:val="single" w:color="000000" w:sz="6" w:space="0"/>
              <w:right w:val="double" w:color="auto" w:sz="4" w:space="0"/>
            </w:tcBorders>
            <w:noWrap/>
            <w:vAlign w:val="center"/>
          </w:tcPr>
          <w:p>
            <w:pPr>
              <w:adjustRightInd w:val="0"/>
              <w:snapToGrid w:val="0"/>
              <w:spacing w:line="400" w:lineRule="exact"/>
              <w:ind w:left="907" w:hanging="907"/>
              <w:textAlignment w:val="center"/>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690" w:type="dxa"/>
            <w:tcBorders>
              <w:top w:val="single" w:color="000000" w:sz="6" w:space="0"/>
              <w:left w:val="double" w:color="auto" w:sz="4" w:space="0"/>
              <w:bottom w:val="single" w:color="000000" w:sz="6" w:space="0"/>
              <w:right w:val="single" w:color="auto" w:sz="4" w:space="0"/>
            </w:tcBorders>
            <w:noWrap/>
            <w:vAlign w:val="center"/>
          </w:tcPr>
          <w:p>
            <w:pPr>
              <w:spacing w:line="400" w:lineRule="exact"/>
              <w:rPr>
                <w:rFonts w:hint="eastAsia" w:ascii="宋体" w:hAnsi="宋体" w:eastAsia="宋体" w:cs="宋体"/>
                <w:szCs w:val="21"/>
              </w:rPr>
            </w:pPr>
          </w:p>
        </w:tc>
        <w:tc>
          <w:tcPr>
            <w:tcW w:w="1020" w:type="dxa"/>
            <w:tcBorders>
              <w:top w:val="single" w:color="000000" w:sz="6" w:space="0"/>
              <w:left w:val="sing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p>
        </w:tc>
        <w:tc>
          <w:tcPr>
            <w:tcW w:w="1110" w:type="dxa"/>
            <w:tcBorders>
              <w:top w:val="single" w:color="000000" w:sz="6" w:space="0"/>
              <w:left w:val="single" w:color="auto" w:sz="4" w:space="0"/>
              <w:bottom w:val="single" w:color="000000" w:sz="6" w:space="0"/>
              <w:right w:val="single" w:color="auto" w:sz="4" w:space="0"/>
            </w:tcBorders>
            <w:noWrap/>
          </w:tcPr>
          <w:p>
            <w:pPr>
              <w:adjustRightInd w:val="0"/>
              <w:snapToGrid w:val="0"/>
              <w:spacing w:line="400" w:lineRule="exact"/>
              <w:textAlignment w:val="center"/>
              <w:rPr>
                <w:rFonts w:hint="eastAsia" w:ascii="宋体" w:hAnsi="宋体" w:eastAsia="宋体" w:cs="宋体"/>
                <w:bCs/>
                <w:szCs w:val="21"/>
              </w:rPr>
            </w:pPr>
          </w:p>
        </w:tc>
        <w:tc>
          <w:tcPr>
            <w:tcW w:w="1140" w:type="dxa"/>
            <w:tcBorders>
              <w:top w:val="single" w:color="000000" w:sz="6" w:space="0"/>
              <w:left w:val="single" w:color="auto" w:sz="4" w:space="0"/>
              <w:bottom w:val="single" w:color="000000" w:sz="6" w:space="0"/>
              <w:right w:val="single" w:color="000000" w:sz="6" w:space="0"/>
            </w:tcBorders>
            <w:noWrap/>
          </w:tcPr>
          <w:p>
            <w:pPr>
              <w:adjustRightInd w:val="0"/>
              <w:snapToGrid w:val="0"/>
              <w:spacing w:line="400" w:lineRule="exact"/>
              <w:textAlignment w:val="center"/>
              <w:rPr>
                <w:rFonts w:hint="eastAsia" w:ascii="宋体" w:hAnsi="宋体" w:eastAsia="宋体" w:cs="宋体"/>
                <w:bCs/>
                <w:szCs w:val="21"/>
              </w:rPr>
            </w:pPr>
          </w:p>
        </w:tc>
        <w:tc>
          <w:tcPr>
            <w:tcW w:w="825" w:type="dxa"/>
            <w:tcBorders>
              <w:top w:val="single" w:color="auto" w:sz="4" w:space="0"/>
              <w:left w:val="single" w:color="000000" w:sz="6" w:space="0"/>
              <w:bottom w:val="single" w:color="auto" w:sz="4" w:space="0"/>
              <w:right w:val="single" w:color="auto" w:sz="4" w:space="0"/>
            </w:tcBorders>
            <w:noWrap/>
            <w:vAlign w:val="center"/>
          </w:tcPr>
          <w:p>
            <w:pPr>
              <w:spacing w:line="400" w:lineRule="exact"/>
              <w:rPr>
                <w:rFonts w:hint="eastAsia" w:ascii="宋体" w:hAnsi="宋体" w:eastAsia="宋体" w:cs="宋体"/>
                <w:szCs w:val="21"/>
              </w:rPr>
            </w:pPr>
          </w:p>
        </w:tc>
        <w:tc>
          <w:tcPr>
            <w:tcW w:w="705" w:type="dxa"/>
            <w:vMerge w:val="continue"/>
            <w:tcBorders>
              <w:left w:val="single" w:color="auto" w:sz="4" w:space="0"/>
              <w:right w:val="double" w:color="auto" w:sz="4" w:space="0"/>
            </w:tcBorders>
            <w:noWrap/>
            <w:vAlign w:val="center"/>
          </w:tcPr>
          <w:p>
            <w:pPr>
              <w:spacing w:line="400" w:lineRule="exact"/>
              <w:rPr>
                <w:rFonts w:hint="eastAsia" w:ascii="宋体" w:hAnsi="宋体" w:eastAsia="宋体" w:cs="宋体"/>
                <w:szCs w:val="21"/>
              </w:rPr>
            </w:pPr>
          </w:p>
        </w:tc>
        <w:tc>
          <w:tcPr>
            <w:tcW w:w="1215" w:type="dxa"/>
            <w:vMerge w:val="continue"/>
            <w:tcBorders>
              <w:left w:val="single" w:color="000000" w:sz="6" w:space="0"/>
              <w:right w:val="double" w:color="auto" w:sz="4" w:space="0"/>
            </w:tcBorders>
            <w:noWrap/>
            <w:vAlign w:val="center"/>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1710" w:type="dxa"/>
            <w:gridSpan w:val="2"/>
            <w:tcBorders>
              <w:top w:val="single" w:color="000000" w:sz="6" w:space="0"/>
              <w:left w:val="double" w:color="auto" w:sz="4" w:space="0"/>
              <w:bottom w:val="single" w:color="000000" w:sz="6" w:space="0"/>
              <w:right w:val="single" w:color="000000" w:sz="6" w:space="0"/>
            </w:tcBorders>
            <w:noWrap/>
            <w:vAlign w:val="center"/>
          </w:tcPr>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投标总价（小写）：</w:t>
            </w:r>
          </w:p>
        </w:tc>
        <w:tc>
          <w:tcPr>
            <w:tcW w:w="4995" w:type="dxa"/>
            <w:gridSpan w:val="5"/>
            <w:tcBorders>
              <w:top w:val="single" w:color="000000" w:sz="6" w:space="0"/>
              <w:left w:val="single" w:color="auto" w:sz="4" w:space="0"/>
              <w:bottom w:val="single" w:color="000000" w:sz="6" w:space="0"/>
              <w:right w:val="double" w:color="auto" w:sz="4" w:space="0"/>
            </w:tcBorders>
            <w:noWrap/>
          </w:tcPr>
          <w:p>
            <w:pPr>
              <w:spacing w:line="400" w:lineRule="exact"/>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5" w:hRule="atLeast"/>
          <w:jc w:val="center"/>
        </w:trPr>
        <w:tc>
          <w:tcPr>
            <w:tcW w:w="1710" w:type="dxa"/>
            <w:gridSpan w:val="2"/>
            <w:tcBorders>
              <w:top w:val="single" w:color="000000" w:sz="6" w:space="0"/>
              <w:left w:val="double" w:color="auto" w:sz="4" w:space="0"/>
              <w:bottom w:val="single" w:color="000000" w:sz="6" w:space="0"/>
              <w:right w:val="single" w:color="000000" w:sz="6" w:space="0"/>
            </w:tcBorders>
            <w:noWrap/>
            <w:vAlign w:val="center"/>
          </w:tcPr>
          <w:p>
            <w:pPr>
              <w:spacing w:line="400" w:lineRule="exact"/>
              <w:rPr>
                <w:rFonts w:hint="eastAsia" w:ascii="宋体" w:hAnsi="宋体" w:eastAsia="宋体" w:cs="宋体"/>
                <w:szCs w:val="21"/>
              </w:rPr>
            </w:pPr>
            <w:r>
              <w:rPr>
                <w:rFonts w:hint="eastAsia" w:ascii="宋体" w:hAnsi="宋体" w:eastAsia="宋体" w:cs="宋体"/>
                <w:szCs w:val="21"/>
                <w:lang w:val="en-US" w:eastAsia="zh-CN"/>
              </w:rPr>
              <w:t>投标总价（大写）：</w:t>
            </w:r>
          </w:p>
        </w:tc>
        <w:tc>
          <w:tcPr>
            <w:tcW w:w="4995" w:type="dxa"/>
            <w:gridSpan w:val="5"/>
            <w:tcBorders>
              <w:top w:val="single" w:color="000000" w:sz="6" w:space="0"/>
              <w:left w:val="single" w:color="auto" w:sz="4" w:space="0"/>
              <w:bottom w:val="single" w:color="000000" w:sz="6" w:space="0"/>
              <w:right w:val="double" w:color="auto" w:sz="4" w:space="0"/>
            </w:tcBorders>
            <w:noWrap/>
          </w:tcPr>
          <w:p>
            <w:pPr>
              <w:spacing w:line="400" w:lineRule="exact"/>
              <w:rPr>
                <w:rFonts w:hint="eastAsia" w:ascii="宋体" w:hAnsi="宋体" w:eastAsia="宋体" w:cs="宋体"/>
                <w:szCs w:val="21"/>
              </w:rPr>
            </w:pPr>
          </w:p>
        </w:tc>
      </w:tr>
    </w:tbl>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供应商名称（单位章）：</w:t>
      </w:r>
    </w:p>
    <w:p>
      <w:pPr>
        <w:adjustRightInd w:val="0"/>
        <w:snapToGrid w:val="0"/>
        <w:spacing w:before="50" w:line="400" w:lineRule="exact"/>
        <w:rPr>
          <w:rFonts w:hint="eastAsia" w:ascii="宋体" w:hAnsi="宋体" w:eastAsia="宋体" w:cs="宋体"/>
          <w:szCs w:val="21"/>
        </w:rPr>
      </w:pPr>
      <w:r>
        <w:rPr>
          <w:rFonts w:hint="eastAsia" w:ascii="宋体" w:hAnsi="宋体" w:eastAsia="宋体" w:cs="宋体"/>
          <w:szCs w:val="21"/>
        </w:rPr>
        <w:t>法定代表人或其授权的代理人(签字)：</w:t>
      </w:r>
    </w:p>
    <w:p>
      <w:pPr>
        <w:spacing w:line="400" w:lineRule="exact"/>
        <w:rPr>
          <w:rFonts w:hint="eastAsia" w:ascii="宋体" w:hAnsi="宋体" w:eastAsia="宋体" w:cs="宋体"/>
        </w:rPr>
      </w:pPr>
      <w:r>
        <w:rPr>
          <w:rFonts w:hint="eastAsia" w:ascii="宋体" w:hAnsi="宋体" w:eastAsia="宋体" w:cs="宋体"/>
          <w:szCs w:val="21"/>
        </w:rPr>
        <w:t>日期：   年   月   日</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报价指完成供货、验收合格所需的各种费用及必要的保险费用和各项税金等所有费用的总和。包括但不限于：安装、随机零配件、标配工具、运输保险、质保期服务、各项税费等需要的一切费用及合同实施过程中不可预见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（2）单价应包括必不可少的部件、标准备件等费用。</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（3）如果单价与总价不符时，以单价为准，并修正总价。</w:t>
      </w:r>
    </w:p>
    <w:p>
      <w:pPr>
        <w:adjustRightInd w:val="0"/>
        <w:snapToGrid w:val="0"/>
        <w:spacing w:line="400" w:lineRule="exact"/>
        <w:ind w:left="-88" w:leftChars="-42"/>
        <w:rPr>
          <w:rFonts w:hint="eastAsia" w:ascii="宋体" w:hAnsi="宋体" w:eastAsia="宋体" w:cs="宋体"/>
          <w:szCs w:val="21"/>
        </w:rPr>
      </w:pPr>
      <w:r>
        <w:rPr>
          <w:rFonts w:hint="eastAsia" w:ascii="宋体" w:hAnsi="宋体" w:eastAsia="宋体" w:cs="宋体"/>
          <w:szCs w:val="21"/>
        </w:rPr>
        <w:t>（4） 表格长度可根据需要自行调整，表中所列内容为必须填写项目，供应商可根据自身情况增加内容。</w:t>
      </w:r>
    </w:p>
    <w:p>
      <w:pPr>
        <w:adjustRightInd w:val="0"/>
        <w:snapToGrid w:val="0"/>
        <w:spacing w:line="400" w:lineRule="exact"/>
        <w:ind w:left="-88" w:leftChars="-42"/>
        <w:rPr>
          <w:rFonts w:hint="eastAsia" w:ascii="宋体" w:hAnsi="宋体" w:eastAsia="宋体" w:cs="宋体"/>
        </w:rPr>
      </w:pPr>
      <w:r>
        <w:rPr>
          <w:rFonts w:hint="eastAsia" w:ascii="宋体" w:hAnsi="宋体" w:eastAsia="宋体" w:cs="宋体"/>
          <w:szCs w:val="21"/>
        </w:rPr>
        <w:t>（5）本表可用附表形式把需求一览表中所有产品生产厂商、规格型号、单价等内容进行详细说明。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Xt0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Z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2Xt0c0BAACnAwAADgAAAAAAAAABACAAAAAe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zh-CN" w:eastAsia="zh-CN" w:bidi="ar-SA"/>
                      </w:rPr>
                      <w:fldChar w:fldCharType="end"/>
                    </w:r>
                  </w:p>
                </w:txbxContent>
              </v:textbox>
            </v:shape>
          </w:pict>
        </mc:Fallback>
      </mc:AlternateContent>
    </w:r>
  </w:p>
  <w:p>
    <w:pPr>
      <w:widowControl w:val="0"/>
      <w:tabs>
        <w:tab w:val="center" w:pos="4497"/>
      </w:tabs>
      <w:snapToGrid w:val="0"/>
      <w:ind w:right="360"/>
      <w:jc w:val="both"/>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ind w:right="36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3" name="文本框 1026"/>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bQkGzQAAAAAgEAAA8AAAAAAAAAAQAgAAAAIgAAAGRy&#10;cy9kb3ducmV2LnhtbFBLAQIUABQAAAAIAIdO4kA9ICVg1AEAAKcDAAAOAAAAAAAAAAEAIAAAAB8B&#10;AABkcnMvZTJvRG9jLnhtbFBLBQYAAAAABgAGAFkBAABl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仿宋_GB2312"/>
                        <w:b/>
                        <w:kern w:val="2"/>
                        <w:sz w:val="32"/>
                        <w:szCs w:val="32"/>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仿宋_GB2312"/>
                        <w:b/>
                        <w:kern w:val="2"/>
                        <w:sz w:val="32"/>
                        <w:szCs w:val="32"/>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w10:wrap type="square"/>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5" name="文本框 1027"/>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21"/>
                              <w:szCs w:val="18"/>
                              <w:lang w:val="en-US" w:eastAsia="zh-CN" w:bidi="ar-SA"/>
                            </w:rPr>
                            <w:fldChar w:fldCharType="begin"/>
                          </w:r>
                          <w:r>
                            <w:rPr>
                              <w:rFonts w:ascii="仿宋_GB2312" w:hAnsi="Times New Roman" w:eastAsia="仿宋_GB2312" w:cs="仿宋_GB2312"/>
                              <w:b/>
                              <w:kern w:val="2"/>
                              <w:sz w:val="21"/>
                              <w:szCs w:val="32"/>
                              <w:lang w:val="en-US" w:eastAsia="zh-CN" w:bidi="ar-SA"/>
                            </w:rPr>
                            <w:instrText xml:space="preserve">PAGE  </w:instrText>
                          </w:r>
                          <w:r>
                            <w:rPr>
                              <w:rFonts w:ascii="Times New Roman" w:hAnsi="Times New Roman" w:eastAsia="宋体" w:cs="Times New Roman"/>
                              <w:kern w:val="2"/>
                              <w:sz w:val="21"/>
                              <w:szCs w:val="18"/>
                              <w:lang w:val="en-US" w:eastAsia="zh-CN" w:bidi="ar-SA"/>
                            </w:rPr>
                            <w:fldChar w:fldCharType="separate"/>
                          </w:r>
                          <w:r>
                            <w:rPr>
                              <w:rFonts w:ascii="仿宋_GB2312" w:hAnsi="Times New Roman" w:eastAsia="仿宋_GB2312" w:cs="仿宋_GB2312"/>
                              <w:b/>
                              <w:kern w:val="2"/>
                              <w:sz w:val="21"/>
                              <w:szCs w:val="32"/>
                              <w:lang w:val="en-US" w:eastAsia="zh-CN" w:bidi="ar-SA"/>
                            </w:rPr>
                            <w:t>3</w:t>
                          </w:r>
                          <w:r>
                            <w:rPr>
                              <w:rFonts w:ascii="Times New Roman" w:hAnsi="Times New Roman" w:eastAsia="宋体" w:cs="Times New Roman"/>
                              <w:kern w:val="2"/>
                              <w:sz w:val="21"/>
                              <w:szCs w:val="18"/>
                              <w:lang w:val="en-US" w:eastAsia="zh-CN" w:bidi="ar-S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rLlHPAAAAAwEAAA8AAAAAAAAAAQAgAAAAIgAAAGRy&#10;cy9kb3ducmV2LnhtbFBLAQIUABQAAAAIAIdO4kDp/zYM1QEAAKgDAAAOAAAAAAAAAAEAIAAAAB4B&#10;AABkcnMvZTJvRG9jLnhtbFBLBQYAAAAABgAGAFkBAABl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21"/>
                        <w:szCs w:val="18"/>
                        <w:lang w:val="en-US" w:eastAsia="zh-CN" w:bidi="ar-SA"/>
                      </w:rPr>
                    </w:pPr>
                    <w:r>
                      <w:rPr>
                        <w:rFonts w:ascii="Times New Roman" w:hAnsi="Times New Roman" w:eastAsia="宋体" w:cs="Times New Roman"/>
                        <w:kern w:val="2"/>
                        <w:sz w:val="21"/>
                        <w:szCs w:val="18"/>
                        <w:lang w:val="en-US" w:eastAsia="zh-CN" w:bidi="ar-SA"/>
                      </w:rPr>
                      <w:fldChar w:fldCharType="begin"/>
                    </w:r>
                    <w:r>
                      <w:rPr>
                        <w:rFonts w:ascii="仿宋_GB2312" w:hAnsi="Times New Roman" w:eastAsia="仿宋_GB2312" w:cs="仿宋_GB2312"/>
                        <w:b/>
                        <w:kern w:val="2"/>
                        <w:sz w:val="21"/>
                        <w:szCs w:val="32"/>
                        <w:lang w:val="en-US" w:eastAsia="zh-CN" w:bidi="ar-SA"/>
                      </w:rPr>
                      <w:instrText xml:space="preserve">PAGE  </w:instrText>
                    </w:r>
                    <w:r>
                      <w:rPr>
                        <w:rFonts w:ascii="Times New Roman" w:hAnsi="Times New Roman" w:eastAsia="宋体" w:cs="Times New Roman"/>
                        <w:kern w:val="2"/>
                        <w:sz w:val="21"/>
                        <w:szCs w:val="18"/>
                        <w:lang w:val="en-US" w:eastAsia="zh-CN" w:bidi="ar-SA"/>
                      </w:rPr>
                      <w:fldChar w:fldCharType="separate"/>
                    </w:r>
                    <w:r>
                      <w:rPr>
                        <w:rFonts w:ascii="仿宋_GB2312" w:hAnsi="Times New Roman" w:eastAsia="仿宋_GB2312" w:cs="仿宋_GB2312"/>
                        <w:b/>
                        <w:kern w:val="2"/>
                        <w:sz w:val="21"/>
                        <w:szCs w:val="32"/>
                        <w:lang w:val="en-US" w:eastAsia="zh-CN" w:bidi="ar-SA"/>
                      </w:rPr>
                      <w:t>3</w:t>
                    </w:r>
                    <w:r>
                      <w:rPr>
                        <w:rFonts w:ascii="Times New Roman" w:hAnsi="Times New Roman" w:eastAsia="宋体" w:cs="Times New Roman"/>
                        <w:kern w:val="2"/>
                        <w:sz w:val="21"/>
                        <w:szCs w:val="18"/>
                        <w:lang w:val="en-US" w:eastAsia="zh-CN" w:bidi="ar-SA"/>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 PAGE  \* Arabic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b/>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VVGc0BAACnAwAADgAAAAAAAAABACAAAAAe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 PAGE  \* Arabic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b/>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3360"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8" name="文本框 1028"/>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left:0pt;margin-top:2.05pt;height:17.4pt;width:11.1pt;mso-position-horizontal-relative:margin;mso-wrap-distance-bottom:0pt;mso-wrap-distance-left:0pt;mso-wrap-distance-right:0pt;mso-wrap-distance-top:0pt;z-index:251663360;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k4N1AAAAAQBAAAPAAAAAAAAAAEAIAAAACIAAABkcnMvZG93bnJldi54bWxQSwEC&#10;FAAUAAAACACHTuJAlDbRur8BAACCAwAADgAAAAAAAAABACAAAAAjAQAAZHJzL2Uyb0RvYy54bWxQ&#10;SwUGAAAAAAYABgBZAQAAVAUAAAAA&#10;">
              <v:fill on="f" focussize="0,0"/>
              <v:stroke on="f"/>
              <v:imagedata o:title=""/>
              <o:lock v:ext="edit" aspectratio="f"/>
              <v:textbox inset="0mm,0mm,0mm,0mm">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D3C09"/>
    <w:rsid w:val="00166AF2"/>
    <w:rsid w:val="00873874"/>
    <w:rsid w:val="009D1717"/>
    <w:rsid w:val="00BE76D0"/>
    <w:rsid w:val="011C3BD7"/>
    <w:rsid w:val="01483A56"/>
    <w:rsid w:val="01C8641E"/>
    <w:rsid w:val="01E1703D"/>
    <w:rsid w:val="02402B4B"/>
    <w:rsid w:val="024F3740"/>
    <w:rsid w:val="037339E3"/>
    <w:rsid w:val="03801059"/>
    <w:rsid w:val="039B3227"/>
    <w:rsid w:val="03A42144"/>
    <w:rsid w:val="03FA35B4"/>
    <w:rsid w:val="05D215EF"/>
    <w:rsid w:val="06686B60"/>
    <w:rsid w:val="06C65ADC"/>
    <w:rsid w:val="06CB49BC"/>
    <w:rsid w:val="070C28DE"/>
    <w:rsid w:val="075E5243"/>
    <w:rsid w:val="07E35D35"/>
    <w:rsid w:val="08114679"/>
    <w:rsid w:val="0874698D"/>
    <w:rsid w:val="088035D5"/>
    <w:rsid w:val="08B13240"/>
    <w:rsid w:val="08FD4BD5"/>
    <w:rsid w:val="0A831DC6"/>
    <w:rsid w:val="0AC934BA"/>
    <w:rsid w:val="0B12728F"/>
    <w:rsid w:val="0B356F2B"/>
    <w:rsid w:val="0B723800"/>
    <w:rsid w:val="0BCF6437"/>
    <w:rsid w:val="0C384FD9"/>
    <w:rsid w:val="0C7A78E7"/>
    <w:rsid w:val="0D674D12"/>
    <w:rsid w:val="0D804923"/>
    <w:rsid w:val="0DB1641D"/>
    <w:rsid w:val="0E2F4817"/>
    <w:rsid w:val="0E7476E7"/>
    <w:rsid w:val="0ED91C40"/>
    <w:rsid w:val="0EDC70EA"/>
    <w:rsid w:val="0EF00A37"/>
    <w:rsid w:val="103F0670"/>
    <w:rsid w:val="104F21BA"/>
    <w:rsid w:val="110C1E59"/>
    <w:rsid w:val="111555A1"/>
    <w:rsid w:val="12442950"/>
    <w:rsid w:val="12502831"/>
    <w:rsid w:val="128C1DA1"/>
    <w:rsid w:val="12A908CC"/>
    <w:rsid w:val="139E2D5C"/>
    <w:rsid w:val="13C7475D"/>
    <w:rsid w:val="13CE5AEB"/>
    <w:rsid w:val="14096B23"/>
    <w:rsid w:val="14173BB3"/>
    <w:rsid w:val="15791D03"/>
    <w:rsid w:val="16657BE6"/>
    <w:rsid w:val="176B037C"/>
    <w:rsid w:val="17B2060F"/>
    <w:rsid w:val="180715CC"/>
    <w:rsid w:val="18357EE7"/>
    <w:rsid w:val="188A0E12"/>
    <w:rsid w:val="193E0479"/>
    <w:rsid w:val="198772A8"/>
    <w:rsid w:val="1B6868C3"/>
    <w:rsid w:val="1B851185"/>
    <w:rsid w:val="1C817C74"/>
    <w:rsid w:val="1CA4563B"/>
    <w:rsid w:val="1CD254B3"/>
    <w:rsid w:val="1E522E75"/>
    <w:rsid w:val="1F142FF4"/>
    <w:rsid w:val="1F830AA6"/>
    <w:rsid w:val="21091A1E"/>
    <w:rsid w:val="212D49A1"/>
    <w:rsid w:val="21E14A75"/>
    <w:rsid w:val="22221C8A"/>
    <w:rsid w:val="222D7E81"/>
    <w:rsid w:val="224F429B"/>
    <w:rsid w:val="22C00CF5"/>
    <w:rsid w:val="239D4B92"/>
    <w:rsid w:val="23E74188"/>
    <w:rsid w:val="240572B4"/>
    <w:rsid w:val="24883A94"/>
    <w:rsid w:val="24EC4023"/>
    <w:rsid w:val="252F7103"/>
    <w:rsid w:val="2564005E"/>
    <w:rsid w:val="25902155"/>
    <w:rsid w:val="25B85CB3"/>
    <w:rsid w:val="25BA5ED0"/>
    <w:rsid w:val="26E90950"/>
    <w:rsid w:val="2713495A"/>
    <w:rsid w:val="27462D81"/>
    <w:rsid w:val="27825996"/>
    <w:rsid w:val="279E28E9"/>
    <w:rsid w:val="28013942"/>
    <w:rsid w:val="28706D19"/>
    <w:rsid w:val="28D42A55"/>
    <w:rsid w:val="295628A8"/>
    <w:rsid w:val="2A916654"/>
    <w:rsid w:val="2B146082"/>
    <w:rsid w:val="2BC374BB"/>
    <w:rsid w:val="2C844B41"/>
    <w:rsid w:val="2CED7BB5"/>
    <w:rsid w:val="2D0D0FDB"/>
    <w:rsid w:val="2D0D23A6"/>
    <w:rsid w:val="2D4E5DF8"/>
    <w:rsid w:val="2D7519DF"/>
    <w:rsid w:val="2E442028"/>
    <w:rsid w:val="2E756E38"/>
    <w:rsid w:val="2E8B0630"/>
    <w:rsid w:val="2E9453EB"/>
    <w:rsid w:val="2F74390D"/>
    <w:rsid w:val="2F762E67"/>
    <w:rsid w:val="2FAE4D4A"/>
    <w:rsid w:val="30262DA9"/>
    <w:rsid w:val="30405223"/>
    <w:rsid w:val="30F755BF"/>
    <w:rsid w:val="311F6E9E"/>
    <w:rsid w:val="31774C75"/>
    <w:rsid w:val="319C62A7"/>
    <w:rsid w:val="31EA7C43"/>
    <w:rsid w:val="31F12C79"/>
    <w:rsid w:val="32106753"/>
    <w:rsid w:val="32134558"/>
    <w:rsid w:val="321903A0"/>
    <w:rsid w:val="325E6D18"/>
    <w:rsid w:val="32695A0B"/>
    <w:rsid w:val="328C6A6A"/>
    <w:rsid w:val="32EA4A62"/>
    <w:rsid w:val="33063EDA"/>
    <w:rsid w:val="330E7C2A"/>
    <w:rsid w:val="336D3266"/>
    <w:rsid w:val="337E0743"/>
    <w:rsid w:val="338D3C09"/>
    <w:rsid w:val="33D740F0"/>
    <w:rsid w:val="33EA0FC1"/>
    <w:rsid w:val="34451E49"/>
    <w:rsid w:val="345D158C"/>
    <w:rsid w:val="34DC39D1"/>
    <w:rsid w:val="35171843"/>
    <w:rsid w:val="35474120"/>
    <w:rsid w:val="359A53D6"/>
    <w:rsid w:val="35E01715"/>
    <w:rsid w:val="35FB5B12"/>
    <w:rsid w:val="36090959"/>
    <w:rsid w:val="36257888"/>
    <w:rsid w:val="36274FEC"/>
    <w:rsid w:val="36AE738B"/>
    <w:rsid w:val="37081B1F"/>
    <w:rsid w:val="37763EDD"/>
    <w:rsid w:val="38016397"/>
    <w:rsid w:val="382C2F15"/>
    <w:rsid w:val="38776533"/>
    <w:rsid w:val="388D4D7E"/>
    <w:rsid w:val="38A203CA"/>
    <w:rsid w:val="38ED03A5"/>
    <w:rsid w:val="38F53E2C"/>
    <w:rsid w:val="39CF5FE9"/>
    <w:rsid w:val="39FE0EE6"/>
    <w:rsid w:val="3AEF031F"/>
    <w:rsid w:val="3B245E6D"/>
    <w:rsid w:val="3BA342F0"/>
    <w:rsid w:val="3C2165AA"/>
    <w:rsid w:val="3C5F007B"/>
    <w:rsid w:val="3D1821FE"/>
    <w:rsid w:val="3D1E069A"/>
    <w:rsid w:val="3D41637D"/>
    <w:rsid w:val="3DCA470A"/>
    <w:rsid w:val="3DEA37D3"/>
    <w:rsid w:val="3E1A60DF"/>
    <w:rsid w:val="3E23065E"/>
    <w:rsid w:val="3EDE4585"/>
    <w:rsid w:val="3EE077BA"/>
    <w:rsid w:val="3F2336F5"/>
    <w:rsid w:val="3FD339BE"/>
    <w:rsid w:val="409A0980"/>
    <w:rsid w:val="40A435AC"/>
    <w:rsid w:val="41B94F1D"/>
    <w:rsid w:val="41CD07B6"/>
    <w:rsid w:val="423623C2"/>
    <w:rsid w:val="42552DC1"/>
    <w:rsid w:val="426F40A9"/>
    <w:rsid w:val="42A72228"/>
    <w:rsid w:val="43775B60"/>
    <w:rsid w:val="4392273B"/>
    <w:rsid w:val="43B30F2F"/>
    <w:rsid w:val="454268F1"/>
    <w:rsid w:val="45E7024F"/>
    <w:rsid w:val="475C25BD"/>
    <w:rsid w:val="475C3ADB"/>
    <w:rsid w:val="47EE4B27"/>
    <w:rsid w:val="481A66DE"/>
    <w:rsid w:val="49046A5C"/>
    <w:rsid w:val="490C2353"/>
    <w:rsid w:val="49D61BFB"/>
    <w:rsid w:val="49F90166"/>
    <w:rsid w:val="4AB01C5C"/>
    <w:rsid w:val="4AD74352"/>
    <w:rsid w:val="4AE61DDE"/>
    <w:rsid w:val="4AF71603"/>
    <w:rsid w:val="4BA315C9"/>
    <w:rsid w:val="4C2F0FC1"/>
    <w:rsid w:val="4C434755"/>
    <w:rsid w:val="4D183358"/>
    <w:rsid w:val="4DBE5CAD"/>
    <w:rsid w:val="4DC20AB2"/>
    <w:rsid w:val="4DFD2D6E"/>
    <w:rsid w:val="4E233D62"/>
    <w:rsid w:val="4EA056A9"/>
    <w:rsid w:val="4F5434AE"/>
    <w:rsid w:val="4F6B3C13"/>
    <w:rsid w:val="4F954BE1"/>
    <w:rsid w:val="4FBB1970"/>
    <w:rsid w:val="501A3D68"/>
    <w:rsid w:val="50BB2978"/>
    <w:rsid w:val="50D71F67"/>
    <w:rsid w:val="50E10904"/>
    <w:rsid w:val="50EF6964"/>
    <w:rsid w:val="511F0D8E"/>
    <w:rsid w:val="512247A5"/>
    <w:rsid w:val="513714F7"/>
    <w:rsid w:val="5191036C"/>
    <w:rsid w:val="51CE5807"/>
    <w:rsid w:val="51E7284C"/>
    <w:rsid w:val="522B4F1F"/>
    <w:rsid w:val="52975A47"/>
    <w:rsid w:val="52D95337"/>
    <w:rsid w:val="53536E98"/>
    <w:rsid w:val="544559FA"/>
    <w:rsid w:val="54B849E4"/>
    <w:rsid w:val="551A222C"/>
    <w:rsid w:val="56343C1C"/>
    <w:rsid w:val="567B6AC4"/>
    <w:rsid w:val="56E77687"/>
    <w:rsid w:val="57201787"/>
    <w:rsid w:val="57763ED1"/>
    <w:rsid w:val="578515EA"/>
    <w:rsid w:val="58103D97"/>
    <w:rsid w:val="58BC54DF"/>
    <w:rsid w:val="58D323BE"/>
    <w:rsid w:val="597B15E1"/>
    <w:rsid w:val="59CE6F2B"/>
    <w:rsid w:val="5A387224"/>
    <w:rsid w:val="5AA80B76"/>
    <w:rsid w:val="5BB10BFF"/>
    <w:rsid w:val="5C1B33CE"/>
    <w:rsid w:val="5C4F5F31"/>
    <w:rsid w:val="5C6A00A1"/>
    <w:rsid w:val="5CD9620B"/>
    <w:rsid w:val="5D160AAC"/>
    <w:rsid w:val="5D3D483F"/>
    <w:rsid w:val="5DBF5F9C"/>
    <w:rsid w:val="5FB63DB4"/>
    <w:rsid w:val="5FCF3D4A"/>
    <w:rsid w:val="5FE573F6"/>
    <w:rsid w:val="604D493F"/>
    <w:rsid w:val="608D61FF"/>
    <w:rsid w:val="612A03B5"/>
    <w:rsid w:val="61333E65"/>
    <w:rsid w:val="613E38F2"/>
    <w:rsid w:val="625B65A0"/>
    <w:rsid w:val="64085A7D"/>
    <w:rsid w:val="640B10C9"/>
    <w:rsid w:val="65A25A5D"/>
    <w:rsid w:val="65EF15EA"/>
    <w:rsid w:val="65F77B57"/>
    <w:rsid w:val="662F7EBA"/>
    <w:rsid w:val="67185FD7"/>
    <w:rsid w:val="671A24EC"/>
    <w:rsid w:val="67261DDB"/>
    <w:rsid w:val="682C6D07"/>
    <w:rsid w:val="69035A27"/>
    <w:rsid w:val="698E2580"/>
    <w:rsid w:val="6A024D1C"/>
    <w:rsid w:val="6A111328"/>
    <w:rsid w:val="6A661319"/>
    <w:rsid w:val="6AB22341"/>
    <w:rsid w:val="6B596BBE"/>
    <w:rsid w:val="6BA01D5F"/>
    <w:rsid w:val="6C1A3EED"/>
    <w:rsid w:val="6C477007"/>
    <w:rsid w:val="6C702411"/>
    <w:rsid w:val="6CD30049"/>
    <w:rsid w:val="6CEB697F"/>
    <w:rsid w:val="6D1A412B"/>
    <w:rsid w:val="6D2158FE"/>
    <w:rsid w:val="6D504E81"/>
    <w:rsid w:val="6D82292A"/>
    <w:rsid w:val="6E185A80"/>
    <w:rsid w:val="6F20072B"/>
    <w:rsid w:val="6FB84A9F"/>
    <w:rsid w:val="701A355D"/>
    <w:rsid w:val="70891CF3"/>
    <w:rsid w:val="70FE7B84"/>
    <w:rsid w:val="719C7877"/>
    <w:rsid w:val="72370209"/>
    <w:rsid w:val="729F135A"/>
    <w:rsid w:val="72AE4B58"/>
    <w:rsid w:val="730218E9"/>
    <w:rsid w:val="73317C2B"/>
    <w:rsid w:val="73F673C0"/>
    <w:rsid w:val="742064CB"/>
    <w:rsid w:val="743E2DF5"/>
    <w:rsid w:val="744664D4"/>
    <w:rsid w:val="744B45C1"/>
    <w:rsid w:val="750E6BA9"/>
    <w:rsid w:val="751678CE"/>
    <w:rsid w:val="754F5DE1"/>
    <w:rsid w:val="760D0A06"/>
    <w:rsid w:val="76644C43"/>
    <w:rsid w:val="769B452E"/>
    <w:rsid w:val="76BB5304"/>
    <w:rsid w:val="76BE2A1F"/>
    <w:rsid w:val="773E5285"/>
    <w:rsid w:val="782C7B94"/>
    <w:rsid w:val="78BA6329"/>
    <w:rsid w:val="79EB1329"/>
    <w:rsid w:val="7A283CB1"/>
    <w:rsid w:val="7A6D4434"/>
    <w:rsid w:val="7AD4000F"/>
    <w:rsid w:val="7ADD1BA5"/>
    <w:rsid w:val="7B4968A6"/>
    <w:rsid w:val="7BCA261C"/>
    <w:rsid w:val="7BD61B65"/>
    <w:rsid w:val="7C532BE5"/>
    <w:rsid w:val="7C977F10"/>
    <w:rsid w:val="7CCF4F32"/>
    <w:rsid w:val="7CD567A1"/>
    <w:rsid w:val="7CE64029"/>
    <w:rsid w:val="7D2E7EAA"/>
    <w:rsid w:val="7D3E71EA"/>
    <w:rsid w:val="7D6A7876"/>
    <w:rsid w:val="7D88564C"/>
    <w:rsid w:val="7D8B26DC"/>
    <w:rsid w:val="7E5E358C"/>
    <w:rsid w:val="7E6C3ECF"/>
    <w:rsid w:val="7E891110"/>
    <w:rsid w:val="7F41760E"/>
    <w:rsid w:val="7F4F5993"/>
    <w:rsid w:val="7F9F0FE3"/>
    <w:rsid w:val="7FA4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Document Map"/>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customStyle="1" w:styleId="13">
    <w:name w:val="标题 2 Char"/>
    <w:link w:val="3"/>
    <w:qFormat/>
    <w:uiPriority w:val="0"/>
    <w:rPr>
      <w:rFonts w:ascii="Arial" w:hAnsi="Arial" w:eastAsia="黑体"/>
      <w:b/>
      <w:sz w:val="32"/>
    </w:rPr>
  </w:style>
  <w:style w:type="character" w:customStyle="1" w:styleId="14">
    <w:name w:val="标题 1 Char"/>
    <w:link w:val="2"/>
    <w:qFormat/>
    <w:uiPriority w:val="0"/>
    <w:rPr>
      <w:b/>
      <w:kern w:val="44"/>
      <w:sz w:val="44"/>
    </w:rPr>
  </w:style>
  <w:style w:type="character" w:customStyle="1" w:styleId="15">
    <w:name w:val="font111"/>
    <w:basedOn w:val="12"/>
    <w:uiPriority w:val="0"/>
    <w:rPr>
      <w:rFonts w:hint="eastAsia" w:ascii="宋体" w:hAnsi="宋体" w:eastAsia="宋体" w:cs="宋体"/>
      <w:color w:val="000000"/>
      <w:sz w:val="28"/>
      <w:szCs w:val="28"/>
      <w:u w:val="none"/>
    </w:rPr>
  </w:style>
  <w:style w:type="character" w:customStyle="1" w:styleId="16">
    <w:name w:val="font122"/>
    <w:basedOn w:val="12"/>
    <w:qFormat/>
    <w:uiPriority w:val="0"/>
    <w:rPr>
      <w:rFonts w:hint="default" w:ascii="Tahoma" w:hAnsi="Tahoma" w:eastAsia="Tahoma" w:cs="Tahoma"/>
      <w:color w:val="000000"/>
      <w:sz w:val="28"/>
      <w:szCs w:val="28"/>
      <w:u w:val="none"/>
    </w:rPr>
  </w:style>
  <w:style w:type="character" w:customStyle="1" w:styleId="17">
    <w:name w:val="font112"/>
    <w:basedOn w:val="12"/>
    <w:qFormat/>
    <w:uiPriority w:val="0"/>
    <w:rPr>
      <w:rFonts w:hint="eastAsia" w:ascii="宋体" w:hAnsi="宋体" w:eastAsia="宋体" w:cs="宋体"/>
      <w:color w:val="000000"/>
      <w:sz w:val="28"/>
      <w:szCs w:val="28"/>
      <w:u w:val="none"/>
    </w:rPr>
  </w:style>
  <w:style w:type="character" w:customStyle="1" w:styleId="18">
    <w:name w:val="font121"/>
    <w:basedOn w:val="12"/>
    <w:qFormat/>
    <w:uiPriority w:val="0"/>
    <w:rPr>
      <w:rFonts w:hint="default" w:ascii="Tahoma" w:hAnsi="Tahoma" w:eastAsia="Tahoma" w:cs="Tahoma"/>
      <w:color w:val="000000"/>
      <w:sz w:val="28"/>
      <w:szCs w:val="28"/>
      <w:u w:val="none"/>
    </w:r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云南省政府办公厅</Company>
  <Pages>1</Pages>
  <Words>0</Words>
  <Characters>0</Characters>
  <Lines>0</Lines>
  <Paragraphs>0</Paragraphs>
  <TotalTime>17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2021-11-10T08:20:00Z</dcterms:created>
  <dc:creator>一生</dc:creator>
  <cp:lastModifiedBy>一生</cp:lastModifiedBy>
  <dcterms:modified xsi:type="dcterms:W3CDTF">2022-02-28T07:42:39Z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B731D909E10141EBA6A128C12B378118</vt:lpwstr>
  </property>
</Properties>
</file>