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Calibri"/>
          <w:b/>
          <w:bCs/>
          <w:kern w:val="0"/>
          <w:sz w:val="48"/>
          <w:szCs w:val="48"/>
          <w:highlight w:val="none"/>
        </w:rPr>
      </w:pPr>
    </w:p>
    <w:p>
      <w:pPr>
        <w:jc w:val="center"/>
        <w:rPr>
          <w:rFonts w:ascii="宋体" w:hAnsi="宋体"/>
          <w:b/>
          <w:bCs/>
          <w:sz w:val="52"/>
          <w:szCs w:val="52"/>
          <w:highlight w:val="none"/>
        </w:rPr>
      </w:pPr>
    </w:p>
    <w:p>
      <w:pPr>
        <w:pStyle w:val="17"/>
        <w:spacing w:line="360" w:lineRule="auto"/>
        <w:jc w:val="center"/>
        <w:rPr>
          <w:rFonts w:hint="eastAsia" w:hAnsi="宋体" w:eastAsia="宋体"/>
          <w:b/>
          <w:bCs/>
          <w:sz w:val="52"/>
          <w:szCs w:val="52"/>
          <w:highlight w:val="none"/>
          <w:lang w:eastAsia="zh-CN"/>
        </w:rPr>
      </w:pPr>
      <w:r>
        <w:rPr>
          <w:rFonts w:hint="eastAsia" w:hAnsi="宋体"/>
          <w:b/>
          <w:bCs/>
          <w:sz w:val="52"/>
          <w:szCs w:val="52"/>
          <w:highlight w:val="none"/>
          <w:lang w:eastAsia="zh-CN"/>
        </w:rPr>
        <w:t>楚雄医药高等专科学校搬运服务采购项目竞争性谈判文件</w:t>
      </w:r>
    </w:p>
    <w:p>
      <w:pPr>
        <w:pStyle w:val="17"/>
        <w:spacing w:line="360" w:lineRule="auto"/>
        <w:jc w:val="center"/>
        <w:rPr>
          <w:rFonts w:hint="eastAsia" w:hAnsi="宋体" w:eastAsia="宋体"/>
          <w:b/>
          <w:bCs/>
          <w:sz w:val="52"/>
          <w:szCs w:val="52"/>
          <w:highlight w:val="none"/>
          <w:lang w:eastAsia="zh-CN"/>
        </w:rPr>
      </w:pPr>
      <w:r>
        <w:rPr>
          <w:rFonts w:hint="eastAsia"/>
          <w:sz w:val="32"/>
          <w:szCs w:val="32"/>
          <w:highlight w:val="none"/>
        </w:rPr>
        <w:t>项目编号：</w:t>
      </w:r>
      <w:r>
        <w:rPr>
          <w:rFonts w:hint="eastAsia"/>
          <w:b/>
          <w:sz w:val="32"/>
          <w:szCs w:val="32"/>
          <w:highlight w:val="none"/>
          <w:lang w:eastAsia="zh-CN"/>
        </w:rPr>
        <w:t>CZYZC(2021)12号</w:t>
      </w:r>
    </w:p>
    <w:p>
      <w:pPr>
        <w:pStyle w:val="17"/>
        <w:spacing w:line="360" w:lineRule="auto"/>
        <w:jc w:val="center"/>
        <w:rPr>
          <w:sz w:val="32"/>
          <w:szCs w:val="32"/>
          <w:highlight w:val="none"/>
        </w:rPr>
      </w:pPr>
    </w:p>
    <w:p>
      <w:pPr>
        <w:pStyle w:val="17"/>
        <w:spacing w:line="360" w:lineRule="auto"/>
        <w:rPr>
          <w:highlight w:val="none"/>
        </w:rPr>
      </w:pPr>
    </w:p>
    <w:p>
      <w:pPr>
        <w:pStyle w:val="17"/>
        <w:spacing w:line="360" w:lineRule="auto"/>
        <w:rPr>
          <w:highlight w:val="none"/>
        </w:rPr>
      </w:pPr>
    </w:p>
    <w:p>
      <w:pPr>
        <w:pStyle w:val="17"/>
        <w:spacing w:line="360" w:lineRule="auto"/>
        <w:rPr>
          <w:highlight w:val="none"/>
        </w:rPr>
      </w:pPr>
    </w:p>
    <w:p>
      <w:pPr>
        <w:pStyle w:val="17"/>
        <w:spacing w:line="360" w:lineRule="auto"/>
        <w:rPr>
          <w:highlight w:val="none"/>
        </w:rPr>
      </w:pPr>
    </w:p>
    <w:p>
      <w:pPr>
        <w:pStyle w:val="17"/>
        <w:spacing w:line="360" w:lineRule="auto"/>
        <w:rPr>
          <w:highlight w:val="none"/>
        </w:rPr>
      </w:pPr>
    </w:p>
    <w:p>
      <w:pPr>
        <w:pStyle w:val="17"/>
        <w:spacing w:line="360" w:lineRule="auto"/>
        <w:rPr>
          <w:highlight w:val="none"/>
        </w:rPr>
      </w:pPr>
    </w:p>
    <w:p>
      <w:pPr>
        <w:pStyle w:val="17"/>
        <w:spacing w:line="360" w:lineRule="auto"/>
        <w:rPr>
          <w:highlight w:val="none"/>
        </w:rPr>
      </w:pPr>
    </w:p>
    <w:p>
      <w:pPr>
        <w:pStyle w:val="17"/>
        <w:spacing w:line="360" w:lineRule="auto"/>
        <w:rPr>
          <w:highlight w:val="none"/>
        </w:rPr>
      </w:pPr>
    </w:p>
    <w:p>
      <w:pPr>
        <w:pStyle w:val="17"/>
        <w:spacing w:line="360" w:lineRule="auto"/>
        <w:rPr>
          <w:b/>
          <w:bCs/>
          <w:sz w:val="32"/>
          <w:highlight w:val="none"/>
        </w:rPr>
      </w:pPr>
    </w:p>
    <w:p>
      <w:pPr>
        <w:pStyle w:val="17"/>
        <w:spacing w:line="360" w:lineRule="auto"/>
        <w:ind w:firstLine="2249" w:firstLineChars="700"/>
        <w:rPr>
          <w:b/>
          <w:bCs/>
          <w:sz w:val="32"/>
          <w:szCs w:val="32"/>
          <w:highlight w:val="none"/>
        </w:rPr>
      </w:pPr>
      <w:r>
        <w:rPr>
          <w:rFonts w:hint="eastAsia"/>
          <w:b/>
          <w:bCs/>
          <w:sz w:val="32"/>
          <w:szCs w:val="32"/>
          <w:highlight w:val="none"/>
        </w:rPr>
        <w:t>采购人：楚雄医药高等专科学校</w:t>
      </w:r>
    </w:p>
    <w:p>
      <w:pPr>
        <w:pStyle w:val="17"/>
        <w:spacing w:line="360" w:lineRule="auto"/>
        <w:jc w:val="center"/>
        <w:rPr>
          <w:b/>
          <w:bCs/>
          <w:sz w:val="32"/>
          <w:szCs w:val="32"/>
          <w:highlight w:val="none"/>
        </w:rPr>
      </w:pPr>
    </w:p>
    <w:p>
      <w:pPr>
        <w:pStyle w:val="17"/>
        <w:spacing w:line="360" w:lineRule="auto"/>
        <w:jc w:val="center"/>
        <w:rPr>
          <w:b/>
          <w:bCs/>
          <w:sz w:val="32"/>
          <w:szCs w:val="32"/>
          <w:highlight w:val="none"/>
        </w:rPr>
      </w:pPr>
      <w:r>
        <w:rPr>
          <w:rFonts w:hint="eastAsia"/>
          <w:b/>
          <w:bCs/>
          <w:sz w:val="32"/>
          <w:szCs w:val="32"/>
          <w:highlight w:val="none"/>
        </w:rPr>
        <w:t>2021年0</w:t>
      </w:r>
      <w:r>
        <w:rPr>
          <w:rFonts w:hint="eastAsia"/>
          <w:b/>
          <w:bCs/>
          <w:sz w:val="32"/>
          <w:szCs w:val="32"/>
          <w:highlight w:val="none"/>
          <w:lang w:val="en-US" w:eastAsia="zh-CN"/>
        </w:rPr>
        <w:t>7</w:t>
      </w:r>
    </w:p>
    <w:p>
      <w:pPr>
        <w:pStyle w:val="185"/>
        <w:jc w:val="center"/>
        <w:rPr>
          <w:b/>
          <w:color w:val="auto"/>
          <w:highlight w:val="none"/>
          <w:lang w:val="zh-CN"/>
        </w:rPr>
      </w:pPr>
    </w:p>
    <w:p>
      <w:pPr>
        <w:pStyle w:val="185"/>
        <w:jc w:val="center"/>
        <w:rPr>
          <w:b/>
          <w:color w:val="auto"/>
          <w:highlight w:val="none"/>
          <w:lang w:val="zh-CN"/>
        </w:rPr>
      </w:pPr>
    </w:p>
    <w:p>
      <w:pPr>
        <w:pStyle w:val="185"/>
        <w:jc w:val="center"/>
        <w:rPr>
          <w:b/>
          <w:color w:val="auto"/>
          <w:highlight w:val="none"/>
          <w:lang w:val="zh-CN"/>
        </w:rPr>
      </w:pPr>
    </w:p>
    <w:p>
      <w:pPr>
        <w:rPr>
          <w:highlight w:val="none"/>
          <w:lang w:val="zh-CN"/>
        </w:rPr>
      </w:pPr>
    </w:p>
    <w:p>
      <w:pPr>
        <w:pStyle w:val="185"/>
        <w:jc w:val="center"/>
        <w:rPr>
          <w:b/>
          <w:color w:val="auto"/>
          <w:highlight w:val="none"/>
          <w:lang w:val="zh-CN"/>
        </w:rPr>
      </w:pPr>
    </w:p>
    <w:p>
      <w:pPr>
        <w:pStyle w:val="185"/>
        <w:jc w:val="center"/>
        <w:rPr>
          <w:b/>
          <w:color w:val="auto"/>
          <w:highlight w:val="none"/>
        </w:rPr>
      </w:pPr>
      <w:r>
        <w:rPr>
          <w:b/>
          <w:color w:val="auto"/>
          <w:highlight w:val="none"/>
          <w:lang w:val="zh-CN"/>
        </w:rPr>
        <w:t>目录</w:t>
      </w:r>
    </w:p>
    <w:p>
      <w:pPr>
        <w:pStyle w:val="24"/>
        <w:tabs>
          <w:tab w:val="right" w:leader="dot" w:pos="9355"/>
        </w:tabs>
      </w:pPr>
      <w:r>
        <w:rPr>
          <w:highlight w:val="none"/>
        </w:rPr>
        <w:fldChar w:fldCharType="begin"/>
      </w:r>
      <w:r>
        <w:rPr>
          <w:highlight w:val="none"/>
        </w:rPr>
        <w:instrText xml:space="preserve">TOC \o "1-3" \h \u </w:instrText>
      </w:r>
      <w:r>
        <w:rPr>
          <w:highlight w:val="none"/>
        </w:rPr>
        <w:fldChar w:fldCharType="separate"/>
      </w:r>
      <w:r>
        <w:rPr>
          <w:highlight w:val="none"/>
        </w:rPr>
        <w:fldChar w:fldCharType="begin"/>
      </w:r>
      <w:r>
        <w:rPr>
          <w:highlight w:val="none"/>
        </w:rPr>
        <w:instrText xml:space="preserve"> HYPERLINK \l _Toc21087 </w:instrText>
      </w:r>
      <w:r>
        <w:rPr>
          <w:highlight w:val="none"/>
        </w:rPr>
        <w:fldChar w:fldCharType="separate"/>
      </w:r>
      <w:r>
        <w:rPr>
          <w:rFonts w:hint="eastAsia" w:ascii="黑体"/>
          <w:szCs w:val="32"/>
          <w:highlight w:val="none"/>
        </w:rPr>
        <w:t xml:space="preserve">第一章   </w:t>
      </w:r>
      <w:r>
        <w:rPr>
          <w:rFonts w:hint="eastAsia" w:ascii="黑体" w:hAnsi="黑体"/>
          <w:bCs w:val="0"/>
          <w:highlight w:val="none"/>
        </w:rPr>
        <w:t>竞争性谈判公告</w:t>
      </w:r>
      <w:r>
        <w:tab/>
      </w:r>
      <w:r>
        <w:fldChar w:fldCharType="begin"/>
      </w:r>
      <w:r>
        <w:instrText xml:space="preserve"> PAGEREF _Toc21087 \h </w:instrText>
      </w:r>
      <w:r>
        <w:fldChar w:fldCharType="separate"/>
      </w:r>
      <w:r>
        <w:t>3</w:t>
      </w:r>
      <w:r>
        <w:fldChar w:fldCharType="end"/>
      </w:r>
      <w:r>
        <w:rPr>
          <w:highlight w:val="none"/>
        </w:rPr>
        <w:fldChar w:fldCharType="end"/>
      </w:r>
    </w:p>
    <w:p>
      <w:pPr>
        <w:pStyle w:val="24"/>
        <w:tabs>
          <w:tab w:val="right" w:leader="dot" w:pos="9355"/>
        </w:tabs>
      </w:pPr>
      <w:r>
        <w:rPr>
          <w:highlight w:val="none"/>
        </w:rPr>
        <w:fldChar w:fldCharType="begin"/>
      </w:r>
      <w:r>
        <w:rPr>
          <w:highlight w:val="none"/>
        </w:rPr>
        <w:instrText xml:space="preserve"> HYPERLINK \l _Toc843 </w:instrText>
      </w:r>
      <w:r>
        <w:rPr>
          <w:highlight w:val="none"/>
        </w:rPr>
        <w:fldChar w:fldCharType="separate"/>
      </w:r>
      <w:r>
        <w:rPr>
          <w:rFonts w:hint="eastAsia" w:ascii="黑体"/>
          <w:szCs w:val="32"/>
          <w:highlight w:val="none"/>
        </w:rPr>
        <w:t>第二章   供应商须知</w:t>
      </w:r>
      <w:r>
        <w:tab/>
      </w:r>
      <w:r>
        <w:fldChar w:fldCharType="begin"/>
      </w:r>
      <w:r>
        <w:instrText xml:space="preserve"> PAGEREF _Toc843 \h </w:instrText>
      </w:r>
      <w:r>
        <w:fldChar w:fldCharType="separate"/>
      </w:r>
      <w:r>
        <w:t>5</w:t>
      </w:r>
      <w:r>
        <w:fldChar w:fldCharType="end"/>
      </w:r>
      <w:r>
        <w:rPr>
          <w:highlight w:val="none"/>
        </w:rPr>
        <w:fldChar w:fldCharType="end"/>
      </w:r>
    </w:p>
    <w:p>
      <w:pPr>
        <w:pStyle w:val="29"/>
        <w:tabs>
          <w:tab w:val="right" w:leader="dot" w:pos="9355"/>
          <w:tab w:val="clear" w:pos="9344"/>
        </w:tabs>
      </w:pPr>
      <w:r>
        <w:rPr>
          <w:highlight w:val="none"/>
        </w:rPr>
        <w:fldChar w:fldCharType="begin"/>
      </w:r>
      <w:r>
        <w:rPr>
          <w:highlight w:val="none"/>
        </w:rPr>
        <w:instrText xml:space="preserve"> HYPERLINK \l _Toc18463 </w:instrText>
      </w:r>
      <w:r>
        <w:rPr>
          <w:highlight w:val="none"/>
        </w:rPr>
        <w:fldChar w:fldCharType="separate"/>
      </w:r>
      <w:r>
        <w:rPr>
          <w:rFonts w:hint="eastAsia" w:ascii="宋体" w:hAnsi="宋体" w:eastAsia="宋体"/>
          <w:szCs w:val="24"/>
          <w:highlight w:val="none"/>
        </w:rPr>
        <w:t>一、总则</w:t>
      </w:r>
      <w:r>
        <w:tab/>
      </w:r>
      <w:r>
        <w:fldChar w:fldCharType="begin"/>
      </w:r>
      <w:r>
        <w:instrText xml:space="preserve"> PAGEREF _Toc18463 \h </w:instrText>
      </w:r>
      <w:r>
        <w:fldChar w:fldCharType="separate"/>
      </w:r>
      <w:r>
        <w:t>7</w:t>
      </w:r>
      <w:r>
        <w:fldChar w:fldCharType="end"/>
      </w:r>
      <w:r>
        <w:rPr>
          <w:highlight w:val="none"/>
        </w:rPr>
        <w:fldChar w:fldCharType="end"/>
      </w:r>
    </w:p>
    <w:p>
      <w:pPr>
        <w:pStyle w:val="29"/>
        <w:tabs>
          <w:tab w:val="right" w:leader="dot" w:pos="9355"/>
          <w:tab w:val="clear" w:pos="9344"/>
        </w:tabs>
      </w:pPr>
      <w:r>
        <w:rPr>
          <w:highlight w:val="none"/>
        </w:rPr>
        <w:fldChar w:fldCharType="begin"/>
      </w:r>
      <w:r>
        <w:rPr>
          <w:highlight w:val="none"/>
        </w:rPr>
        <w:instrText xml:space="preserve"> HYPERLINK \l _Toc5190 </w:instrText>
      </w:r>
      <w:r>
        <w:rPr>
          <w:highlight w:val="none"/>
        </w:rPr>
        <w:fldChar w:fldCharType="separate"/>
      </w:r>
      <w:r>
        <w:rPr>
          <w:rFonts w:hint="eastAsia" w:ascii="宋体" w:hAnsi="宋体" w:eastAsia="宋体"/>
          <w:szCs w:val="24"/>
          <w:highlight w:val="none"/>
        </w:rPr>
        <w:t>二、谈判文件</w:t>
      </w:r>
      <w:r>
        <w:tab/>
      </w:r>
      <w:r>
        <w:fldChar w:fldCharType="begin"/>
      </w:r>
      <w:r>
        <w:instrText xml:space="preserve"> PAGEREF _Toc5190 \h </w:instrText>
      </w:r>
      <w:r>
        <w:fldChar w:fldCharType="separate"/>
      </w:r>
      <w:r>
        <w:t>9</w:t>
      </w:r>
      <w:r>
        <w:fldChar w:fldCharType="end"/>
      </w:r>
      <w:r>
        <w:rPr>
          <w:highlight w:val="none"/>
        </w:rPr>
        <w:fldChar w:fldCharType="end"/>
      </w:r>
    </w:p>
    <w:p>
      <w:pPr>
        <w:pStyle w:val="29"/>
        <w:tabs>
          <w:tab w:val="right" w:leader="dot" w:pos="9355"/>
          <w:tab w:val="clear" w:pos="9344"/>
        </w:tabs>
      </w:pPr>
      <w:r>
        <w:rPr>
          <w:highlight w:val="none"/>
        </w:rPr>
        <w:fldChar w:fldCharType="begin"/>
      </w:r>
      <w:r>
        <w:rPr>
          <w:highlight w:val="none"/>
        </w:rPr>
        <w:instrText xml:space="preserve"> HYPERLINK \l _Toc15256 </w:instrText>
      </w:r>
      <w:r>
        <w:rPr>
          <w:highlight w:val="none"/>
        </w:rPr>
        <w:fldChar w:fldCharType="separate"/>
      </w:r>
      <w:r>
        <w:rPr>
          <w:rFonts w:hint="eastAsia" w:ascii="宋体" w:hAnsi="宋体" w:eastAsia="宋体"/>
          <w:szCs w:val="24"/>
          <w:highlight w:val="none"/>
        </w:rPr>
        <w:t>三、响应文件的编制</w:t>
      </w:r>
      <w:r>
        <w:tab/>
      </w:r>
      <w:r>
        <w:fldChar w:fldCharType="begin"/>
      </w:r>
      <w:r>
        <w:instrText xml:space="preserve"> PAGEREF _Toc15256 \h </w:instrText>
      </w:r>
      <w:r>
        <w:fldChar w:fldCharType="separate"/>
      </w:r>
      <w:r>
        <w:t>10</w:t>
      </w:r>
      <w:r>
        <w:fldChar w:fldCharType="end"/>
      </w:r>
      <w:r>
        <w:rPr>
          <w:highlight w:val="none"/>
        </w:rPr>
        <w:fldChar w:fldCharType="end"/>
      </w:r>
    </w:p>
    <w:p>
      <w:pPr>
        <w:pStyle w:val="29"/>
        <w:tabs>
          <w:tab w:val="right" w:leader="dot" w:pos="9355"/>
          <w:tab w:val="clear" w:pos="9344"/>
        </w:tabs>
      </w:pPr>
      <w:r>
        <w:rPr>
          <w:highlight w:val="none"/>
        </w:rPr>
        <w:fldChar w:fldCharType="begin"/>
      </w:r>
      <w:r>
        <w:rPr>
          <w:highlight w:val="none"/>
        </w:rPr>
        <w:instrText xml:space="preserve"> HYPERLINK \l _Toc20287 </w:instrText>
      </w:r>
      <w:r>
        <w:rPr>
          <w:highlight w:val="none"/>
        </w:rPr>
        <w:fldChar w:fldCharType="separate"/>
      </w:r>
      <w:r>
        <w:rPr>
          <w:rFonts w:hint="eastAsia" w:ascii="宋体" w:hAnsi="宋体" w:eastAsia="宋体"/>
          <w:szCs w:val="24"/>
          <w:highlight w:val="none"/>
        </w:rPr>
        <w:t>四、响应文件的提交</w:t>
      </w:r>
      <w:r>
        <w:tab/>
      </w:r>
      <w:r>
        <w:fldChar w:fldCharType="begin"/>
      </w:r>
      <w:r>
        <w:instrText xml:space="preserve"> PAGEREF _Toc20287 \h </w:instrText>
      </w:r>
      <w:r>
        <w:fldChar w:fldCharType="separate"/>
      </w:r>
      <w:r>
        <w:t>11</w:t>
      </w:r>
      <w:r>
        <w:fldChar w:fldCharType="end"/>
      </w:r>
      <w:r>
        <w:rPr>
          <w:highlight w:val="none"/>
        </w:rPr>
        <w:fldChar w:fldCharType="end"/>
      </w:r>
    </w:p>
    <w:p>
      <w:pPr>
        <w:pStyle w:val="29"/>
        <w:tabs>
          <w:tab w:val="right" w:leader="dot" w:pos="9355"/>
          <w:tab w:val="clear" w:pos="9344"/>
        </w:tabs>
      </w:pPr>
      <w:r>
        <w:rPr>
          <w:highlight w:val="none"/>
        </w:rPr>
        <w:fldChar w:fldCharType="begin"/>
      </w:r>
      <w:r>
        <w:rPr>
          <w:highlight w:val="none"/>
        </w:rPr>
        <w:instrText xml:space="preserve"> HYPERLINK \l _Toc12452 </w:instrText>
      </w:r>
      <w:r>
        <w:rPr>
          <w:highlight w:val="none"/>
        </w:rPr>
        <w:fldChar w:fldCharType="separate"/>
      </w:r>
      <w:r>
        <w:rPr>
          <w:rFonts w:hint="eastAsia" w:ascii="宋体" w:hAnsi="宋体" w:eastAsia="宋体"/>
          <w:szCs w:val="24"/>
          <w:highlight w:val="none"/>
        </w:rPr>
        <w:t>五</w:t>
      </w:r>
      <w:r>
        <w:rPr>
          <w:rFonts w:hint="eastAsia" w:ascii="宋体" w:hAnsi="宋体" w:eastAsia="宋体"/>
          <w:szCs w:val="24"/>
          <w:highlight w:val="none"/>
          <w:lang w:eastAsia="zh-CN"/>
        </w:rPr>
        <w:t>、响应</w:t>
      </w:r>
      <w:r>
        <w:rPr>
          <w:rFonts w:hint="eastAsia" w:ascii="宋体" w:hAnsi="宋体" w:eastAsia="宋体"/>
          <w:szCs w:val="24"/>
          <w:highlight w:val="none"/>
        </w:rPr>
        <w:t>文件开启</w:t>
      </w:r>
      <w:r>
        <w:tab/>
      </w:r>
      <w:r>
        <w:fldChar w:fldCharType="begin"/>
      </w:r>
      <w:r>
        <w:instrText xml:space="preserve"> PAGEREF _Toc12452 \h </w:instrText>
      </w:r>
      <w:r>
        <w:fldChar w:fldCharType="separate"/>
      </w:r>
      <w:r>
        <w:t>12</w:t>
      </w:r>
      <w:r>
        <w:fldChar w:fldCharType="end"/>
      </w:r>
      <w:r>
        <w:rPr>
          <w:highlight w:val="none"/>
        </w:rPr>
        <w:fldChar w:fldCharType="end"/>
      </w:r>
    </w:p>
    <w:p>
      <w:pPr>
        <w:pStyle w:val="29"/>
        <w:tabs>
          <w:tab w:val="right" w:leader="dot" w:pos="9355"/>
          <w:tab w:val="clear" w:pos="9344"/>
        </w:tabs>
      </w:pPr>
      <w:r>
        <w:rPr>
          <w:highlight w:val="none"/>
        </w:rPr>
        <w:fldChar w:fldCharType="begin"/>
      </w:r>
      <w:r>
        <w:rPr>
          <w:highlight w:val="none"/>
        </w:rPr>
        <w:instrText xml:space="preserve"> HYPERLINK \l _Toc19415 </w:instrText>
      </w:r>
      <w:r>
        <w:rPr>
          <w:highlight w:val="none"/>
        </w:rPr>
        <w:fldChar w:fldCharType="separate"/>
      </w:r>
      <w:r>
        <w:rPr>
          <w:rFonts w:hint="eastAsia" w:ascii="宋体" w:hAnsi="宋体" w:eastAsia="宋体"/>
          <w:szCs w:val="24"/>
          <w:highlight w:val="none"/>
          <w:lang w:eastAsia="zh-CN"/>
        </w:rPr>
        <w:t>七</w:t>
      </w:r>
      <w:r>
        <w:rPr>
          <w:rFonts w:ascii="宋体" w:hAnsi="宋体" w:eastAsia="宋体"/>
          <w:szCs w:val="24"/>
          <w:highlight w:val="none"/>
        </w:rPr>
        <w:t>、</w:t>
      </w:r>
      <w:r>
        <w:rPr>
          <w:rFonts w:hint="eastAsia" w:ascii="宋体" w:hAnsi="宋体" w:eastAsia="宋体"/>
          <w:szCs w:val="24"/>
          <w:highlight w:val="none"/>
        </w:rPr>
        <w:t>成交结果</w:t>
      </w:r>
      <w:r>
        <w:tab/>
      </w:r>
      <w:r>
        <w:fldChar w:fldCharType="begin"/>
      </w:r>
      <w:r>
        <w:instrText xml:space="preserve"> PAGEREF _Toc19415 \h </w:instrText>
      </w:r>
      <w:r>
        <w:fldChar w:fldCharType="separate"/>
      </w:r>
      <w:r>
        <w:t>16</w:t>
      </w:r>
      <w:r>
        <w:fldChar w:fldCharType="end"/>
      </w:r>
      <w:r>
        <w:rPr>
          <w:highlight w:val="none"/>
        </w:rPr>
        <w:fldChar w:fldCharType="end"/>
      </w:r>
    </w:p>
    <w:p>
      <w:pPr>
        <w:pStyle w:val="24"/>
        <w:tabs>
          <w:tab w:val="right" w:leader="dot" w:pos="9355"/>
        </w:tabs>
      </w:pPr>
      <w:r>
        <w:rPr>
          <w:highlight w:val="none"/>
        </w:rPr>
        <w:fldChar w:fldCharType="begin"/>
      </w:r>
      <w:r>
        <w:rPr>
          <w:highlight w:val="none"/>
        </w:rPr>
        <w:instrText xml:space="preserve"> HYPERLINK \l _Toc16075 </w:instrText>
      </w:r>
      <w:r>
        <w:rPr>
          <w:highlight w:val="none"/>
        </w:rPr>
        <w:fldChar w:fldCharType="separate"/>
      </w:r>
      <w:r>
        <w:rPr>
          <w:rFonts w:hint="eastAsia" w:ascii="黑体"/>
          <w:szCs w:val="32"/>
          <w:highlight w:val="none"/>
        </w:rPr>
        <w:t>第三章  合同书样式</w:t>
      </w:r>
      <w:r>
        <w:tab/>
      </w:r>
      <w:r>
        <w:fldChar w:fldCharType="begin"/>
      </w:r>
      <w:r>
        <w:instrText xml:space="preserve"> PAGEREF _Toc16075 \h </w:instrText>
      </w:r>
      <w:r>
        <w:fldChar w:fldCharType="separate"/>
      </w:r>
      <w:r>
        <w:t>17</w:t>
      </w:r>
      <w:r>
        <w:fldChar w:fldCharType="end"/>
      </w:r>
      <w:r>
        <w:rPr>
          <w:highlight w:val="none"/>
        </w:rPr>
        <w:fldChar w:fldCharType="end"/>
      </w:r>
    </w:p>
    <w:p>
      <w:pPr>
        <w:pStyle w:val="24"/>
        <w:tabs>
          <w:tab w:val="right" w:leader="dot" w:pos="9355"/>
        </w:tabs>
      </w:pPr>
      <w:r>
        <w:rPr>
          <w:highlight w:val="none"/>
        </w:rPr>
        <w:fldChar w:fldCharType="begin"/>
      </w:r>
      <w:r>
        <w:rPr>
          <w:highlight w:val="none"/>
        </w:rPr>
        <w:instrText xml:space="preserve"> HYPERLINK \l _Toc20534 </w:instrText>
      </w:r>
      <w:r>
        <w:rPr>
          <w:highlight w:val="none"/>
        </w:rPr>
        <w:fldChar w:fldCharType="separate"/>
      </w:r>
      <w:r>
        <w:rPr>
          <w:rFonts w:hint="eastAsia" w:ascii="黑体"/>
          <w:szCs w:val="32"/>
          <w:highlight w:val="none"/>
        </w:rPr>
        <w:t>第四章  响应文件格式</w:t>
      </w:r>
      <w:r>
        <w:tab/>
      </w:r>
      <w:r>
        <w:fldChar w:fldCharType="begin"/>
      </w:r>
      <w:r>
        <w:instrText xml:space="preserve"> PAGEREF _Toc20534 \h </w:instrText>
      </w:r>
      <w:r>
        <w:fldChar w:fldCharType="separate"/>
      </w:r>
      <w:r>
        <w:t>20</w:t>
      </w:r>
      <w:r>
        <w:fldChar w:fldCharType="end"/>
      </w:r>
      <w:r>
        <w:rPr>
          <w:highlight w:val="none"/>
        </w:rPr>
        <w:fldChar w:fldCharType="end"/>
      </w:r>
    </w:p>
    <w:p>
      <w:pPr>
        <w:pStyle w:val="24"/>
        <w:tabs>
          <w:tab w:val="right" w:leader="dot" w:pos="9355"/>
        </w:tabs>
      </w:pPr>
      <w:r>
        <w:rPr>
          <w:highlight w:val="none"/>
        </w:rPr>
        <w:fldChar w:fldCharType="begin"/>
      </w:r>
      <w:r>
        <w:rPr>
          <w:highlight w:val="none"/>
        </w:rPr>
        <w:instrText xml:space="preserve"> HYPERLINK \l _Toc30029 </w:instrText>
      </w:r>
      <w:r>
        <w:rPr>
          <w:highlight w:val="none"/>
        </w:rPr>
        <w:fldChar w:fldCharType="separate"/>
      </w:r>
      <w:r>
        <w:rPr>
          <w:rFonts w:hint="eastAsia" w:ascii="黑体"/>
          <w:szCs w:val="32"/>
          <w:highlight w:val="none"/>
        </w:rPr>
        <w:t>（项目名称）</w:t>
      </w:r>
      <w:r>
        <w:tab/>
      </w:r>
      <w:r>
        <w:fldChar w:fldCharType="begin"/>
      </w:r>
      <w:r>
        <w:instrText xml:space="preserve"> PAGEREF _Toc30029 \h </w:instrText>
      </w:r>
      <w:r>
        <w:fldChar w:fldCharType="separate"/>
      </w:r>
      <w:r>
        <w:t>20</w:t>
      </w:r>
      <w:r>
        <w:fldChar w:fldCharType="end"/>
      </w:r>
      <w:r>
        <w:rPr>
          <w:highlight w:val="none"/>
        </w:rPr>
        <w:fldChar w:fldCharType="end"/>
      </w:r>
    </w:p>
    <w:p>
      <w:pPr>
        <w:pStyle w:val="29"/>
        <w:tabs>
          <w:tab w:val="right" w:leader="dot" w:pos="9355"/>
          <w:tab w:val="clear" w:pos="9344"/>
        </w:tabs>
      </w:pPr>
      <w:r>
        <w:rPr>
          <w:highlight w:val="none"/>
        </w:rPr>
        <w:fldChar w:fldCharType="begin"/>
      </w:r>
      <w:r>
        <w:rPr>
          <w:highlight w:val="none"/>
        </w:rPr>
        <w:instrText xml:space="preserve"> HYPERLINK \l _Toc29044 </w:instrText>
      </w:r>
      <w:r>
        <w:rPr>
          <w:highlight w:val="none"/>
        </w:rPr>
        <w:fldChar w:fldCharType="separate"/>
      </w:r>
      <w:r>
        <w:rPr>
          <w:rFonts w:hint="eastAsia" w:ascii="宋体" w:hAnsi="宋体" w:eastAsia="宋体"/>
          <w:szCs w:val="32"/>
          <w:highlight w:val="none"/>
        </w:rPr>
        <w:t>商务文件</w:t>
      </w:r>
      <w:r>
        <w:tab/>
      </w:r>
      <w:r>
        <w:fldChar w:fldCharType="begin"/>
      </w:r>
      <w:r>
        <w:instrText xml:space="preserve"> PAGEREF _Toc29044 \h </w:instrText>
      </w:r>
      <w:r>
        <w:fldChar w:fldCharType="separate"/>
      </w:r>
      <w:r>
        <w:t>21</w:t>
      </w:r>
      <w:r>
        <w:fldChar w:fldCharType="end"/>
      </w:r>
      <w:r>
        <w:rPr>
          <w:highlight w:val="none"/>
        </w:rPr>
        <w:fldChar w:fldCharType="end"/>
      </w:r>
    </w:p>
    <w:p>
      <w:pPr>
        <w:pStyle w:val="29"/>
        <w:tabs>
          <w:tab w:val="right" w:leader="dot" w:pos="9355"/>
          <w:tab w:val="clear" w:pos="9344"/>
        </w:tabs>
      </w:pPr>
      <w:r>
        <w:rPr>
          <w:highlight w:val="none"/>
        </w:rPr>
        <w:fldChar w:fldCharType="begin"/>
      </w:r>
      <w:r>
        <w:rPr>
          <w:highlight w:val="none"/>
        </w:rPr>
        <w:instrText xml:space="preserve"> HYPERLINK \l _Toc5231 </w:instrText>
      </w:r>
      <w:r>
        <w:rPr>
          <w:highlight w:val="none"/>
        </w:rPr>
        <w:fldChar w:fldCharType="separate"/>
      </w:r>
      <w:r>
        <w:rPr>
          <w:rFonts w:hint="eastAsia" w:ascii="宋体" w:hAnsi="宋体" w:eastAsia="宋体"/>
          <w:szCs w:val="24"/>
          <w:highlight w:val="none"/>
        </w:rPr>
        <w:t>格式1：谈判响应函</w:t>
      </w:r>
      <w:r>
        <w:tab/>
      </w:r>
      <w:r>
        <w:fldChar w:fldCharType="begin"/>
      </w:r>
      <w:r>
        <w:instrText xml:space="preserve"> PAGEREF _Toc5231 \h </w:instrText>
      </w:r>
      <w:r>
        <w:fldChar w:fldCharType="separate"/>
      </w:r>
      <w:r>
        <w:t>22</w:t>
      </w:r>
      <w:r>
        <w:fldChar w:fldCharType="end"/>
      </w:r>
      <w:r>
        <w:rPr>
          <w:highlight w:val="none"/>
        </w:rPr>
        <w:fldChar w:fldCharType="end"/>
      </w:r>
    </w:p>
    <w:p>
      <w:pPr>
        <w:pStyle w:val="29"/>
        <w:tabs>
          <w:tab w:val="right" w:leader="dot" w:pos="9355"/>
          <w:tab w:val="clear" w:pos="9344"/>
        </w:tabs>
      </w:pPr>
      <w:r>
        <w:rPr>
          <w:highlight w:val="none"/>
        </w:rPr>
        <w:fldChar w:fldCharType="begin"/>
      </w:r>
      <w:r>
        <w:rPr>
          <w:highlight w:val="none"/>
        </w:rPr>
        <w:instrText xml:space="preserve"> HYPERLINK \l _Toc6172 </w:instrText>
      </w:r>
      <w:r>
        <w:rPr>
          <w:highlight w:val="none"/>
        </w:rPr>
        <w:fldChar w:fldCharType="separate"/>
      </w:r>
      <w:r>
        <w:rPr>
          <w:rFonts w:hint="eastAsia" w:ascii="宋体" w:hAnsi="宋体" w:eastAsia="宋体"/>
          <w:szCs w:val="24"/>
          <w:highlight w:val="none"/>
        </w:rPr>
        <w:t>格式2：竞争性谈判报价一览表</w:t>
      </w:r>
      <w:r>
        <w:tab/>
      </w:r>
      <w:r>
        <w:fldChar w:fldCharType="begin"/>
      </w:r>
      <w:r>
        <w:instrText xml:space="preserve"> PAGEREF _Toc6172 \h </w:instrText>
      </w:r>
      <w:r>
        <w:fldChar w:fldCharType="separate"/>
      </w:r>
      <w:r>
        <w:t>23</w:t>
      </w:r>
      <w:r>
        <w:fldChar w:fldCharType="end"/>
      </w:r>
      <w:r>
        <w:rPr>
          <w:highlight w:val="none"/>
        </w:rPr>
        <w:fldChar w:fldCharType="end"/>
      </w:r>
    </w:p>
    <w:p>
      <w:pPr>
        <w:pStyle w:val="29"/>
        <w:tabs>
          <w:tab w:val="right" w:leader="dot" w:pos="9355"/>
          <w:tab w:val="clear" w:pos="9344"/>
        </w:tabs>
      </w:pPr>
      <w:r>
        <w:rPr>
          <w:highlight w:val="none"/>
        </w:rPr>
        <w:fldChar w:fldCharType="begin"/>
      </w:r>
      <w:r>
        <w:rPr>
          <w:highlight w:val="none"/>
        </w:rPr>
        <w:instrText xml:space="preserve"> HYPERLINK \l _Toc28261 </w:instrText>
      </w:r>
      <w:r>
        <w:rPr>
          <w:highlight w:val="none"/>
        </w:rPr>
        <w:fldChar w:fldCharType="separate"/>
      </w:r>
      <w:r>
        <w:rPr>
          <w:rFonts w:hint="eastAsia" w:ascii="宋体" w:hAnsi="宋体" w:eastAsia="宋体"/>
          <w:szCs w:val="24"/>
          <w:highlight w:val="none"/>
        </w:rPr>
        <w:t>格式</w:t>
      </w:r>
      <w:r>
        <w:rPr>
          <w:rFonts w:hint="eastAsia" w:ascii="宋体" w:hAnsi="宋体" w:eastAsia="宋体"/>
          <w:szCs w:val="24"/>
          <w:highlight w:val="none"/>
          <w:lang w:val="en-US" w:eastAsia="zh-CN"/>
        </w:rPr>
        <w:t>3</w:t>
      </w:r>
      <w:r>
        <w:rPr>
          <w:rFonts w:hint="eastAsia" w:ascii="宋体" w:hAnsi="宋体" w:eastAsia="宋体"/>
          <w:szCs w:val="24"/>
          <w:highlight w:val="none"/>
        </w:rPr>
        <w:t>：投标人资格证明文件</w:t>
      </w:r>
      <w:r>
        <w:tab/>
      </w:r>
      <w:r>
        <w:fldChar w:fldCharType="begin"/>
      </w:r>
      <w:r>
        <w:instrText xml:space="preserve"> PAGEREF _Toc28261 \h </w:instrText>
      </w:r>
      <w:r>
        <w:fldChar w:fldCharType="separate"/>
      </w:r>
      <w:r>
        <w:t>24</w:t>
      </w:r>
      <w:r>
        <w:fldChar w:fldCharType="end"/>
      </w:r>
      <w:r>
        <w:rPr>
          <w:highlight w:val="none"/>
        </w:rPr>
        <w:fldChar w:fldCharType="end"/>
      </w:r>
    </w:p>
    <w:p>
      <w:pPr>
        <w:pStyle w:val="16"/>
        <w:tabs>
          <w:tab w:val="right" w:leader="dot" w:pos="9355"/>
        </w:tabs>
      </w:pPr>
      <w:r>
        <w:rPr>
          <w:highlight w:val="none"/>
        </w:rPr>
        <w:fldChar w:fldCharType="begin"/>
      </w:r>
      <w:r>
        <w:rPr>
          <w:highlight w:val="none"/>
        </w:rPr>
        <w:instrText xml:space="preserve"> HYPERLINK \l _Toc4619 </w:instrText>
      </w:r>
      <w:r>
        <w:rPr>
          <w:highlight w:val="none"/>
        </w:rPr>
        <w:fldChar w:fldCharType="separate"/>
      </w:r>
      <w:r>
        <w:rPr>
          <w:rFonts w:hint="eastAsia" w:asciiTheme="minorEastAsia" w:hAnsiTheme="minorEastAsia" w:eastAsiaTheme="minorEastAsia"/>
          <w:szCs w:val="24"/>
          <w:highlight w:val="none"/>
        </w:rPr>
        <w:t>格式</w:t>
      </w:r>
      <w:r>
        <w:rPr>
          <w:rFonts w:hint="eastAsia" w:asciiTheme="minorEastAsia" w:hAnsiTheme="minorEastAsia" w:eastAsiaTheme="minorEastAsia"/>
          <w:szCs w:val="24"/>
          <w:highlight w:val="none"/>
          <w:lang w:val="en-US" w:eastAsia="zh-CN"/>
        </w:rPr>
        <w:t>3</w:t>
      </w:r>
      <w:r>
        <w:rPr>
          <w:rFonts w:hint="eastAsia" w:asciiTheme="minorEastAsia" w:hAnsiTheme="minorEastAsia" w:eastAsiaTheme="minorEastAsia"/>
          <w:szCs w:val="24"/>
          <w:highlight w:val="none"/>
        </w:rPr>
        <w:t>-1：营业执照及其他资质证书</w:t>
      </w:r>
      <w:r>
        <w:tab/>
      </w:r>
      <w:r>
        <w:fldChar w:fldCharType="begin"/>
      </w:r>
      <w:r>
        <w:instrText xml:space="preserve"> PAGEREF _Toc4619 \h </w:instrText>
      </w:r>
      <w:r>
        <w:fldChar w:fldCharType="separate"/>
      </w:r>
      <w:r>
        <w:t>24</w:t>
      </w:r>
      <w:r>
        <w:fldChar w:fldCharType="end"/>
      </w:r>
      <w:r>
        <w:rPr>
          <w:highlight w:val="none"/>
        </w:rPr>
        <w:fldChar w:fldCharType="end"/>
      </w:r>
    </w:p>
    <w:p>
      <w:pPr>
        <w:pStyle w:val="16"/>
        <w:tabs>
          <w:tab w:val="right" w:leader="dot" w:pos="9355"/>
        </w:tabs>
      </w:pPr>
      <w:r>
        <w:rPr>
          <w:highlight w:val="none"/>
        </w:rPr>
        <w:fldChar w:fldCharType="begin"/>
      </w:r>
      <w:r>
        <w:rPr>
          <w:highlight w:val="none"/>
        </w:rPr>
        <w:instrText xml:space="preserve"> HYPERLINK \l _Toc5193 </w:instrText>
      </w:r>
      <w:r>
        <w:rPr>
          <w:highlight w:val="none"/>
        </w:rPr>
        <w:fldChar w:fldCharType="separate"/>
      </w:r>
      <w:r>
        <w:rPr>
          <w:rFonts w:hint="eastAsia" w:asciiTheme="minorEastAsia" w:hAnsiTheme="minorEastAsia" w:eastAsiaTheme="minorEastAsia"/>
          <w:szCs w:val="24"/>
          <w:highlight w:val="none"/>
        </w:rPr>
        <w:t>格式</w:t>
      </w:r>
      <w:r>
        <w:rPr>
          <w:rFonts w:hint="eastAsia" w:asciiTheme="minorEastAsia" w:hAnsiTheme="minorEastAsia" w:eastAsiaTheme="minorEastAsia"/>
          <w:szCs w:val="24"/>
          <w:highlight w:val="none"/>
          <w:lang w:val="en-US" w:eastAsia="zh-CN"/>
        </w:rPr>
        <w:t>3</w:t>
      </w:r>
      <w:r>
        <w:rPr>
          <w:rFonts w:asciiTheme="minorEastAsia" w:hAnsiTheme="minorEastAsia" w:eastAsiaTheme="minorEastAsia"/>
          <w:szCs w:val="24"/>
          <w:highlight w:val="none"/>
        </w:rPr>
        <w:t>-2</w:t>
      </w:r>
      <w:r>
        <w:rPr>
          <w:rFonts w:hint="eastAsia" w:asciiTheme="minorEastAsia" w:hAnsiTheme="minorEastAsia" w:eastAsiaTheme="minorEastAsia"/>
          <w:szCs w:val="24"/>
          <w:highlight w:val="none"/>
        </w:rPr>
        <w:t>：法定代表人资格证明书</w:t>
      </w:r>
      <w:r>
        <w:tab/>
      </w:r>
      <w:r>
        <w:fldChar w:fldCharType="begin"/>
      </w:r>
      <w:r>
        <w:instrText xml:space="preserve"> PAGEREF _Toc5193 \h </w:instrText>
      </w:r>
      <w:r>
        <w:fldChar w:fldCharType="separate"/>
      </w:r>
      <w:r>
        <w:t>25</w:t>
      </w:r>
      <w:r>
        <w:fldChar w:fldCharType="end"/>
      </w:r>
      <w:r>
        <w:rPr>
          <w:highlight w:val="none"/>
        </w:rPr>
        <w:fldChar w:fldCharType="end"/>
      </w:r>
    </w:p>
    <w:p>
      <w:pPr>
        <w:pStyle w:val="16"/>
        <w:tabs>
          <w:tab w:val="right" w:leader="dot" w:pos="9355"/>
        </w:tabs>
      </w:pPr>
      <w:r>
        <w:rPr>
          <w:highlight w:val="none"/>
        </w:rPr>
        <w:fldChar w:fldCharType="begin"/>
      </w:r>
      <w:r>
        <w:rPr>
          <w:highlight w:val="none"/>
        </w:rPr>
        <w:instrText xml:space="preserve"> HYPERLINK \l _Toc25587 </w:instrText>
      </w:r>
      <w:r>
        <w:rPr>
          <w:highlight w:val="none"/>
        </w:rPr>
        <w:fldChar w:fldCharType="separate"/>
      </w:r>
      <w:r>
        <w:rPr>
          <w:rFonts w:hint="eastAsia" w:asciiTheme="minorEastAsia" w:hAnsiTheme="minorEastAsia" w:eastAsiaTheme="minorEastAsia"/>
          <w:szCs w:val="24"/>
          <w:highlight w:val="none"/>
        </w:rPr>
        <w:t>格式</w:t>
      </w:r>
      <w:r>
        <w:rPr>
          <w:rFonts w:hint="eastAsia" w:asciiTheme="minorEastAsia" w:hAnsiTheme="minorEastAsia" w:eastAsiaTheme="minorEastAsia"/>
          <w:szCs w:val="24"/>
          <w:highlight w:val="none"/>
          <w:lang w:val="en-US" w:eastAsia="zh-CN"/>
        </w:rPr>
        <w:t>3</w:t>
      </w:r>
      <w:r>
        <w:rPr>
          <w:rFonts w:asciiTheme="minorEastAsia" w:hAnsiTheme="minorEastAsia" w:eastAsiaTheme="minorEastAsia"/>
          <w:szCs w:val="24"/>
          <w:highlight w:val="none"/>
        </w:rPr>
        <w:t>-3</w:t>
      </w:r>
      <w:r>
        <w:rPr>
          <w:rFonts w:hint="eastAsia" w:asciiTheme="minorEastAsia" w:hAnsiTheme="minorEastAsia" w:eastAsiaTheme="minorEastAsia"/>
          <w:szCs w:val="24"/>
          <w:highlight w:val="none"/>
        </w:rPr>
        <w:t>：法定代表人授权委托书</w:t>
      </w:r>
      <w:r>
        <w:tab/>
      </w:r>
      <w:r>
        <w:fldChar w:fldCharType="begin"/>
      </w:r>
      <w:r>
        <w:instrText xml:space="preserve"> PAGEREF _Toc25587 \h </w:instrText>
      </w:r>
      <w:r>
        <w:fldChar w:fldCharType="separate"/>
      </w:r>
      <w:r>
        <w:t>26</w:t>
      </w:r>
      <w:r>
        <w:fldChar w:fldCharType="end"/>
      </w:r>
      <w:r>
        <w:rPr>
          <w:highlight w:val="none"/>
        </w:rPr>
        <w:fldChar w:fldCharType="end"/>
      </w:r>
    </w:p>
    <w:p>
      <w:pPr>
        <w:pStyle w:val="16"/>
        <w:tabs>
          <w:tab w:val="right" w:leader="dot" w:pos="9355"/>
        </w:tabs>
      </w:pPr>
      <w:r>
        <w:rPr>
          <w:highlight w:val="none"/>
        </w:rPr>
        <w:fldChar w:fldCharType="begin"/>
      </w:r>
      <w:r>
        <w:rPr>
          <w:highlight w:val="none"/>
        </w:rPr>
        <w:instrText xml:space="preserve"> HYPERLINK \l _Toc22520 </w:instrText>
      </w:r>
      <w:r>
        <w:rPr>
          <w:highlight w:val="none"/>
        </w:rPr>
        <w:fldChar w:fldCharType="separate"/>
      </w:r>
      <w:r>
        <w:rPr>
          <w:rFonts w:hint="eastAsia" w:ascii="宋体" w:hAnsi="宋体"/>
          <w:szCs w:val="24"/>
          <w:highlight w:val="none"/>
        </w:rPr>
        <w:t>格式</w:t>
      </w:r>
      <w:r>
        <w:rPr>
          <w:rFonts w:hint="eastAsia" w:ascii="宋体" w:hAnsi="宋体"/>
          <w:szCs w:val="24"/>
          <w:highlight w:val="none"/>
          <w:lang w:val="en-US" w:eastAsia="zh-CN"/>
        </w:rPr>
        <w:t>3</w:t>
      </w:r>
      <w:r>
        <w:rPr>
          <w:rFonts w:ascii="宋体" w:hAnsi="宋体"/>
          <w:szCs w:val="24"/>
          <w:highlight w:val="none"/>
        </w:rPr>
        <w:t>-</w:t>
      </w:r>
      <w:r>
        <w:rPr>
          <w:rFonts w:hint="eastAsia" w:ascii="宋体" w:hAnsi="宋体"/>
          <w:szCs w:val="24"/>
          <w:highlight w:val="none"/>
          <w:lang w:val="en-US" w:eastAsia="zh-CN"/>
        </w:rPr>
        <w:t>4</w:t>
      </w:r>
      <w:r>
        <w:rPr>
          <w:rFonts w:hint="eastAsia" w:ascii="宋体" w:hAnsi="宋体"/>
          <w:szCs w:val="24"/>
          <w:highlight w:val="none"/>
        </w:rPr>
        <w:t>：参加政府采购活动前三年内在经营活动中没有重大违法记录的书面声明</w:t>
      </w:r>
      <w:r>
        <w:tab/>
      </w:r>
      <w:r>
        <w:fldChar w:fldCharType="begin"/>
      </w:r>
      <w:r>
        <w:instrText xml:space="preserve"> PAGEREF _Toc22520 \h </w:instrText>
      </w:r>
      <w:r>
        <w:fldChar w:fldCharType="separate"/>
      </w:r>
      <w:r>
        <w:t>27</w:t>
      </w:r>
      <w:r>
        <w:fldChar w:fldCharType="end"/>
      </w:r>
      <w:r>
        <w:rPr>
          <w:highlight w:val="none"/>
        </w:rPr>
        <w:fldChar w:fldCharType="end"/>
      </w:r>
    </w:p>
    <w:p>
      <w:pPr>
        <w:pStyle w:val="29"/>
        <w:tabs>
          <w:tab w:val="right" w:leader="dot" w:pos="9355"/>
          <w:tab w:val="clear" w:pos="9344"/>
        </w:tabs>
      </w:pPr>
      <w:r>
        <w:rPr>
          <w:highlight w:val="none"/>
        </w:rPr>
        <w:fldChar w:fldCharType="begin"/>
      </w:r>
      <w:r>
        <w:rPr>
          <w:highlight w:val="none"/>
        </w:rPr>
        <w:instrText xml:space="preserve"> HYPERLINK \l _Toc24650 </w:instrText>
      </w:r>
      <w:r>
        <w:rPr>
          <w:highlight w:val="none"/>
        </w:rPr>
        <w:fldChar w:fldCharType="separate"/>
      </w:r>
      <w:r>
        <w:rPr>
          <w:rFonts w:hint="eastAsia" w:ascii="宋体" w:hAnsi="宋体" w:eastAsia="宋体"/>
          <w:szCs w:val="24"/>
          <w:highlight w:val="none"/>
        </w:rPr>
        <w:t>格式</w:t>
      </w:r>
      <w:r>
        <w:rPr>
          <w:rFonts w:hint="eastAsia" w:ascii="宋体" w:hAnsi="宋体" w:eastAsia="宋体"/>
          <w:szCs w:val="24"/>
          <w:highlight w:val="none"/>
          <w:lang w:val="en-US" w:eastAsia="zh-CN"/>
        </w:rPr>
        <w:t>6</w:t>
      </w:r>
      <w:r>
        <w:rPr>
          <w:rFonts w:hint="eastAsia" w:ascii="宋体" w:hAnsi="宋体" w:eastAsia="宋体"/>
          <w:szCs w:val="24"/>
          <w:highlight w:val="none"/>
        </w:rPr>
        <w:t>：构成响应文件的其他资料</w:t>
      </w:r>
      <w:r>
        <w:tab/>
      </w:r>
      <w:r>
        <w:fldChar w:fldCharType="begin"/>
      </w:r>
      <w:r>
        <w:instrText xml:space="preserve"> PAGEREF _Toc24650 \h </w:instrText>
      </w:r>
      <w:r>
        <w:fldChar w:fldCharType="separate"/>
      </w:r>
      <w:r>
        <w:t>27</w:t>
      </w:r>
      <w:r>
        <w:fldChar w:fldCharType="end"/>
      </w:r>
      <w:r>
        <w:rPr>
          <w:highlight w:val="none"/>
        </w:rPr>
        <w:fldChar w:fldCharType="end"/>
      </w:r>
    </w:p>
    <w:p>
      <w:pPr>
        <w:pStyle w:val="29"/>
        <w:tabs>
          <w:tab w:val="right" w:leader="dot" w:pos="9355"/>
          <w:tab w:val="clear" w:pos="9344"/>
        </w:tabs>
      </w:pPr>
      <w:r>
        <w:rPr>
          <w:highlight w:val="none"/>
        </w:rPr>
        <w:fldChar w:fldCharType="begin"/>
      </w:r>
      <w:r>
        <w:rPr>
          <w:highlight w:val="none"/>
        </w:rPr>
        <w:instrText xml:space="preserve"> HYPERLINK \l _Toc12766 </w:instrText>
      </w:r>
      <w:r>
        <w:rPr>
          <w:highlight w:val="none"/>
        </w:rPr>
        <w:fldChar w:fldCharType="separate"/>
      </w:r>
      <w:r>
        <w:rPr>
          <w:rFonts w:hint="eastAsia" w:ascii="宋体" w:hAnsi="宋体" w:eastAsia="宋体"/>
          <w:szCs w:val="32"/>
          <w:highlight w:val="none"/>
        </w:rPr>
        <w:t>技术文件</w:t>
      </w:r>
      <w:r>
        <w:tab/>
      </w:r>
      <w:r>
        <w:fldChar w:fldCharType="begin"/>
      </w:r>
      <w:r>
        <w:instrText xml:space="preserve"> PAGEREF _Toc12766 \h </w:instrText>
      </w:r>
      <w:r>
        <w:fldChar w:fldCharType="separate"/>
      </w:r>
      <w:r>
        <w:t>28</w:t>
      </w:r>
      <w:r>
        <w:fldChar w:fldCharType="end"/>
      </w:r>
      <w:r>
        <w:rPr>
          <w:highlight w:val="none"/>
        </w:rPr>
        <w:fldChar w:fldCharType="end"/>
      </w:r>
    </w:p>
    <w:p>
      <w:pPr>
        <w:pStyle w:val="29"/>
        <w:tabs>
          <w:tab w:val="right" w:leader="dot" w:pos="9355"/>
          <w:tab w:val="clear" w:pos="9344"/>
        </w:tabs>
      </w:pPr>
      <w:r>
        <w:rPr>
          <w:highlight w:val="none"/>
        </w:rPr>
        <w:fldChar w:fldCharType="begin"/>
      </w:r>
      <w:r>
        <w:rPr>
          <w:highlight w:val="none"/>
        </w:rPr>
        <w:instrText xml:space="preserve"> HYPERLINK \l _Toc30325 </w:instrText>
      </w:r>
      <w:r>
        <w:rPr>
          <w:highlight w:val="none"/>
        </w:rPr>
        <w:fldChar w:fldCharType="separate"/>
      </w:r>
      <w:r>
        <w:rPr>
          <w:rFonts w:hint="eastAsia" w:ascii="宋体" w:hAnsi="宋体" w:eastAsia="宋体"/>
          <w:szCs w:val="24"/>
          <w:highlight w:val="none"/>
        </w:rPr>
        <w:t>格式</w:t>
      </w:r>
      <w:r>
        <w:rPr>
          <w:rFonts w:hint="eastAsia" w:ascii="宋体" w:hAnsi="宋体" w:eastAsia="宋体"/>
          <w:szCs w:val="24"/>
          <w:highlight w:val="none"/>
          <w:lang w:val="en-US" w:eastAsia="zh-CN"/>
        </w:rPr>
        <w:t>9</w:t>
      </w:r>
      <w:r>
        <w:rPr>
          <w:rFonts w:hint="eastAsia" w:ascii="宋体" w:hAnsi="宋体" w:eastAsia="宋体"/>
          <w:szCs w:val="24"/>
          <w:highlight w:val="none"/>
        </w:rPr>
        <w:t>：</w:t>
      </w:r>
      <w:r>
        <w:rPr>
          <w:rFonts w:hint="eastAsia" w:ascii="宋体" w:hAnsi="宋体"/>
          <w:highlight w:val="none"/>
        </w:rPr>
        <w:t>搬运方案</w:t>
      </w:r>
      <w:r>
        <w:tab/>
      </w:r>
      <w:r>
        <w:fldChar w:fldCharType="begin"/>
      </w:r>
      <w:r>
        <w:instrText xml:space="preserve"> PAGEREF _Toc30325 \h </w:instrText>
      </w:r>
      <w:r>
        <w:fldChar w:fldCharType="separate"/>
      </w:r>
      <w:r>
        <w:t>28</w:t>
      </w:r>
      <w:r>
        <w:fldChar w:fldCharType="end"/>
      </w:r>
      <w:r>
        <w:rPr>
          <w:highlight w:val="none"/>
        </w:rPr>
        <w:fldChar w:fldCharType="end"/>
      </w:r>
    </w:p>
    <w:p>
      <w:pPr>
        <w:pStyle w:val="29"/>
        <w:tabs>
          <w:tab w:val="right" w:leader="dot" w:pos="9355"/>
          <w:tab w:val="clear" w:pos="9344"/>
        </w:tabs>
      </w:pPr>
      <w:r>
        <w:rPr>
          <w:highlight w:val="none"/>
        </w:rPr>
        <w:fldChar w:fldCharType="begin"/>
      </w:r>
      <w:r>
        <w:rPr>
          <w:highlight w:val="none"/>
        </w:rPr>
        <w:instrText xml:space="preserve"> HYPERLINK \l _Toc20966 </w:instrText>
      </w:r>
      <w:r>
        <w:rPr>
          <w:highlight w:val="none"/>
        </w:rPr>
        <w:fldChar w:fldCharType="separate"/>
      </w:r>
      <w:r>
        <w:rPr>
          <w:rFonts w:hint="eastAsia" w:ascii="宋体" w:hAnsi="宋体" w:eastAsia="宋体"/>
          <w:szCs w:val="24"/>
          <w:highlight w:val="none"/>
        </w:rPr>
        <w:t>格式1</w:t>
      </w:r>
      <w:r>
        <w:rPr>
          <w:rFonts w:hint="eastAsia" w:ascii="宋体" w:hAnsi="宋体" w:eastAsia="宋体"/>
          <w:szCs w:val="24"/>
          <w:highlight w:val="none"/>
          <w:lang w:val="en-US" w:eastAsia="zh-CN"/>
        </w:rPr>
        <w:t>2</w:t>
      </w:r>
      <w:r>
        <w:rPr>
          <w:rFonts w:hint="eastAsia" w:ascii="宋体" w:hAnsi="宋体" w:eastAsia="宋体"/>
          <w:szCs w:val="24"/>
          <w:highlight w:val="none"/>
        </w:rPr>
        <w:t>：其他声明</w:t>
      </w:r>
      <w:r>
        <w:tab/>
      </w:r>
      <w:r>
        <w:fldChar w:fldCharType="begin"/>
      </w:r>
      <w:r>
        <w:instrText xml:space="preserve"> PAGEREF _Toc20966 \h </w:instrText>
      </w:r>
      <w:r>
        <w:fldChar w:fldCharType="separate"/>
      </w:r>
      <w:r>
        <w:t>28</w:t>
      </w:r>
      <w:r>
        <w:fldChar w:fldCharType="end"/>
      </w:r>
      <w:r>
        <w:rPr>
          <w:highlight w:val="none"/>
        </w:rPr>
        <w:fldChar w:fldCharType="end"/>
      </w:r>
    </w:p>
    <w:p>
      <w:pPr>
        <w:pStyle w:val="24"/>
        <w:tabs>
          <w:tab w:val="right" w:leader="dot" w:pos="9355"/>
        </w:tabs>
      </w:pPr>
      <w:r>
        <w:rPr>
          <w:highlight w:val="none"/>
        </w:rPr>
        <w:fldChar w:fldCharType="begin"/>
      </w:r>
      <w:r>
        <w:rPr>
          <w:highlight w:val="none"/>
        </w:rPr>
        <w:instrText xml:space="preserve"> HYPERLINK \l _Toc1123 </w:instrText>
      </w:r>
      <w:r>
        <w:rPr>
          <w:highlight w:val="none"/>
        </w:rPr>
        <w:fldChar w:fldCharType="separate"/>
      </w:r>
      <w:r>
        <w:rPr>
          <w:rFonts w:hint="eastAsia" w:ascii="黑体"/>
          <w:szCs w:val="32"/>
        </w:rPr>
        <w:t xml:space="preserve">第五章 </w:t>
      </w:r>
      <w:r>
        <w:rPr>
          <w:rFonts w:hint="eastAsia" w:ascii="黑体"/>
          <w:szCs w:val="32"/>
          <w:highlight w:val="none"/>
          <w:lang w:eastAsia="zh-CN"/>
        </w:rPr>
        <w:t>服务内容及</w:t>
      </w:r>
      <w:r>
        <w:rPr>
          <w:rFonts w:hint="eastAsia" w:ascii="黑体"/>
          <w:szCs w:val="32"/>
          <w:highlight w:val="none"/>
        </w:rPr>
        <w:t>要求</w:t>
      </w:r>
      <w:r>
        <w:tab/>
      </w:r>
      <w:r>
        <w:fldChar w:fldCharType="begin"/>
      </w:r>
      <w:r>
        <w:instrText xml:space="preserve"> PAGEREF _Toc1123 \h </w:instrText>
      </w:r>
      <w:r>
        <w:fldChar w:fldCharType="separate"/>
      </w:r>
      <w:r>
        <w:t>29</w:t>
      </w:r>
      <w:r>
        <w:fldChar w:fldCharType="end"/>
      </w:r>
      <w:r>
        <w:rPr>
          <w:highlight w:val="none"/>
        </w:rPr>
        <w:fldChar w:fldCharType="end"/>
      </w:r>
    </w:p>
    <w:p>
      <w:pPr>
        <w:pStyle w:val="24"/>
        <w:tabs>
          <w:tab w:val="right" w:leader="dot" w:pos="9355"/>
        </w:tabs>
      </w:pPr>
      <w:r>
        <w:rPr>
          <w:highlight w:val="none"/>
        </w:rPr>
        <w:fldChar w:fldCharType="begin"/>
      </w:r>
      <w:r>
        <w:rPr>
          <w:highlight w:val="none"/>
        </w:rPr>
        <w:instrText xml:space="preserve"> HYPERLINK \l _Toc7470 </w:instrText>
      </w:r>
      <w:r>
        <w:rPr>
          <w:highlight w:val="none"/>
        </w:rPr>
        <w:fldChar w:fldCharType="separate"/>
      </w:r>
      <w:r>
        <w:rPr>
          <w:rFonts w:hint="eastAsia" w:ascii="黑体"/>
          <w:szCs w:val="32"/>
          <w:highlight w:val="none"/>
        </w:rPr>
        <w:t>第六章  评审办法</w:t>
      </w:r>
      <w:r>
        <w:tab/>
      </w:r>
      <w:r>
        <w:fldChar w:fldCharType="begin"/>
      </w:r>
      <w:r>
        <w:instrText xml:space="preserve"> PAGEREF _Toc7470 \h </w:instrText>
      </w:r>
      <w:r>
        <w:fldChar w:fldCharType="separate"/>
      </w:r>
      <w:r>
        <w:t>30</w:t>
      </w:r>
      <w:r>
        <w:fldChar w:fldCharType="end"/>
      </w:r>
      <w:r>
        <w:rPr>
          <w:highlight w:val="none"/>
        </w:rPr>
        <w:fldChar w:fldCharType="end"/>
      </w:r>
    </w:p>
    <w:p>
      <w:pPr>
        <w:pStyle w:val="29"/>
        <w:tabs>
          <w:tab w:val="right" w:leader="dot" w:pos="9355"/>
          <w:tab w:val="clear" w:pos="9344"/>
        </w:tabs>
      </w:pPr>
      <w:r>
        <w:rPr>
          <w:highlight w:val="none"/>
        </w:rPr>
        <w:fldChar w:fldCharType="begin"/>
      </w:r>
      <w:r>
        <w:rPr>
          <w:highlight w:val="none"/>
        </w:rPr>
        <w:instrText xml:space="preserve"> HYPERLINK \l _Toc1531 </w:instrText>
      </w:r>
      <w:r>
        <w:rPr>
          <w:highlight w:val="none"/>
        </w:rPr>
        <w:fldChar w:fldCharType="separate"/>
      </w:r>
      <w:r>
        <w:rPr>
          <w:rFonts w:hint="eastAsia" w:ascii="宋体" w:hAnsi="宋体" w:eastAsia="宋体"/>
          <w:szCs w:val="24"/>
          <w:highlight w:val="none"/>
        </w:rPr>
        <w:t>评审办法前附表</w:t>
      </w:r>
      <w:r>
        <w:tab/>
      </w:r>
      <w:r>
        <w:fldChar w:fldCharType="begin"/>
      </w:r>
      <w:r>
        <w:instrText xml:space="preserve"> PAGEREF _Toc1531 \h </w:instrText>
      </w:r>
      <w:r>
        <w:fldChar w:fldCharType="separate"/>
      </w:r>
      <w:r>
        <w:t>30</w:t>
      </w:r>
      <w:r>
        <w:fldChar w:fldCharType="end"/>
      </w:r>
      <w:r>
        <w:rPr>
          <w:highlight w:val="none"/>
        </w:rPr>
        <w:fldChar w:fldCharType="end"/>
      </w:r>
    </w:p>
    <w:p>
      <w:pPr>
        <w:pStyle w:val="17"/>
        <w:spacing w:line="360" w:lineRule="auto"/>
        <w:jc w:val="center"/>
        <w:rPr>
          <w:b/>
          <w:bCs/>
          <w:sz w:val="32"/>
          <w:szCs w:val="32"/>
          <w:highlight w:val="none"/>
        </w:rPr>
        <w:sectPr>
          <w:headerReference r:id="rId3" w:type="first"/>
          <w:footerReference r:id="rId4" w:type="default"/>
          <w:footerReference r:id="rId5" w:type="even"/>
          <w:pgSz w:w="11906" w:h="16838"/>
          <w:pgMar w:top="1418" w:right="1134" w:bottom="1134" w:left="1417" w:header="779" w:footer="720" w:gutter="0"/>
          <w:pgNumType w:start="1"/>
          <w:cols w:space="720" w:num="1"/>
          <w:titlePg/>
          <w:docGrid w:linePitch="331" w:charSpace="0"/>
        </w:sectPr>
      </w:pPr>
      <w:r>
        <w:rPr>
          <w:highlight w:val="none"/>
        </w:rPr>
        <w:fldChar w:fldCharType="end"/>
      </w:r>
    </w:p>
    <w:p>
      <w:pPr>
        <w:pStyle w:val="3"/>
        <w:ind w:left="0" w:firstLine="0"/>
        <w:jc w:val="center"/>
        <w:rPr>
          <w:rFonts w:ascii="黑体"/>
          <w:bCs w:val="0"/>
          <w:sz w:val="32"/>
          <w:highlight w:val="none"/>
        </w:rPr>
      </w:pPr>
      <w:bookmarkStart w:id="0" w:name="_Toc60996674"/>
      <w:bookmarkStart w:id="1" w:name="_Toc20587_WPSOffice_Level1"/>
      <w:bookmarkStart w:id="2" w:name="_Toc21087"/>
      <w:bookmarkStart w:id="3" w:name="_第一章__招标公告"/>
      <w:r>
        <w:rPr>
          <w:rFonts w:hint="eastAsia" w:ascii="黑体"/>
          <w:sz w:val="32"/>
          <w:szCs w:val="32"/>
          <w:highlight w:val="none"/>
        </w:rPr>
        <w:t xml:space="preserve">第一章   </w:t>
      </w:r>
      <w:r>
        <w:rPr>
          <w:rFonts w:hint="eastAsia" w:ascii="黑体" w:hAnsi="黑体"/>
          <w:bCs w:val="0"/>
          <w:sz w:val="32"/>
          <w:highlight w:val="none"/>
        </w:rPr>
        <w:t>竞争性谈判公告</w:t>
      </w:r>
      <w:bookmarkEnd w:id="0"/>
      <w:bookmarkEnd w:id="1"/>
      <w:bookmarkEnd w:id="2"/>
    </w:p>
    <w:bookmarkEnd w:id="3"/>
    <w:p>
      <w:pPr>
        <w:rPr>
          <w:highlight w:val="none"/>
        </w:rPr>
      </w:pPr>
    </w:p>
    <w:p>
      <w:pPr>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项目概况</w:t>
      </w:r>
    </w:p>
    <w:p>
      <w:pPr>
        <w:spacing w:line="4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楚雄医药高等专科学校搬运服务采购项目</w:t>
      </w:r>
      <w:r>
        <w:rPr>
          <w:rFonts w:hint="eastAsia" w:ascii="仿宋" w:hAnsi="仿宋" w:eastAsia="仿宋" w:cs="仿宋"/>
          <w:sz w:val="28"/>
          <w:szCs w:val="28"/>
          <w:highlight w:val="none"/>
        </w:rPr>
        <w:t>的潜在供</w:t>
      </w:r>
      <w:r>
        <w:rPr>
          <w:rFonts w:hint="eastAsia" w:ascii="仿宋" w:hAnsi="仿宋" w:eastAsia="仿宋" w:cs="仿宋"/>
          <w:sz w:val="28"/>
          <w:szCs w:val="28"/>
          <w:highlight w:val="none"/>
          <w:lang w:eastAsia="zh-CN"/>
        </w:rPr>
        <w:t>应商应在</w:t>
      </w:r>
      <w:r>
        <w:rPr>
          <w:rFonts w:hint="eastAsia" w:ascii="仿宋" w:hAnsi="仿宋" w:eastAsia="仿宋" w:cs="仿宋"/>
          <w:sz w:val="28"/>
          <w:szCs w:val="28"/>
          <w:highlight w:val="none"/>
          <w:lang w:val="zh-CN" w:eastAsia="zh-CN"/>
        </w:rPr>
        <w:t>请楚雄医药高等专科学校后勤处招标公示栏</w:t>
      </w:r>
      <w:r>
        <w:rPr>
          <w:rFonts w:hint="eastAsia" w:ascii="仿宋" w:hAnsi="仿宋" w:eastAsia="仿宋" w:cs="仿宋"/>
          <w:sz w:val="28"/>
          <w:szCs w:val="28"/>
          <w:highlight w:val="none"/>
          <w:lang w:eastAsia="zh-CN"/>
        </w:rPr>
        <w:t>获取采购文件，并于2021年0</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eastAsia="zh-CN"/>
        </w:rPr>
        <w:t xml:space="preserve"> 月</w:t>
      </w:r>
      <w:r>
        <w:rPr>
          <w:rFonts w:hint="eastAsia" w:ascii="仿宋" w:hAnsi="仿宋" w:eastAsia="仿宋" w:cs="仿宋"/>
          <w:sz w:val="28"/>
          <w:szCs w:val="28"/>
          <w:highlight w:val="none"/>
          <w:lang w:val="en-US" w:eastAsia="zh-CN"/>
        </w:rPr>
        <w:t>22</w:t>
      </w:r>
      <w:r>
        <w:rPr>
          <w:rFonts w:hint="eastAsia" w:ascii="仿宋" w:hAnsi="仿宋" w:eastAsia="仿宋" w:cs="仿宋"/>
          <w:sz w:val="28"/>
          <w:szCs w:val="28"/>
          <w:highlight w:val="none"/>
          <w:lang w:eastAsia="zh-CN"/>
        </w:rPr>
        <w:t>日</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lang w:eastAsia="zh-CN"/>
        </w:rPr>
        <w:t>点</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lang w:eastAsia="zh-CN"/>
        </w:rPr>
        <w:t>30分（北京时间）前递交响应文件。</w:t>
      </w:r>
    </w:p>
    <w:p>
      <w:pPr>
        <w:spacing w:line="460" w:lineRule="exact"/>
        <w:ind w:firstLine="560" w:firstLineChars="200"/>
        <w:rPr>
          <w:rFonts w:hint="eastAsia" w:ascii="仿宋" w:hAnsi="仿宋" w:eastAsia="仿宋" w:cs="仿宋"/>
          <w:sz w:val="28"/>
          <w:szCs w:val="28"/>
          <w:highlight w:val="none"/>
          <w:lang w:eastAsia="zh-CN"/>
        </w:rPr>
      </w:pPr>
      <w:bookmarkStart w:id="4" w:name="_Toc35393790"/>
      <w:bookmarkStart w:id="5" w:name="_Toc28359002"/>
      <w:bookmarkStart w:id="6" w:name="_Toc28359079"/>
      <w:bookmarkStart w:id="7" w:name="_Toc29731_WPSOffice_Level2"/>
      <w:bookmarkStart w:id="8" w:name="_Toc44621995"/>
      <w:bookmarkStart w:id="9" w:name="_Toc35393621"/>
      <w:bookmarkStart w:id="10" w:name="_Hlk24379207"/>
      <w:r>
        <w:rPr>
          <w:rFonts w:hint="eastAsia" w:ascii="仿宋" w:hAnsi="仿宋" w:eastAsia="仿宋" w:cs="仿宋"/>
          <w:sz w:val="28"/>
          <w:szCs w:val="28"/>
          <w:highlight w:val="none"/>
          <w:lang w:eastAsia="zh-CN"/>
        </w:rPr>
        <w:t>一、项目基本情况</w:t>
      </w:r>
      <w:bookmarkEnd w:id="4"/>
      <w:bookmarkEnd w:id="5"/>
      <w:bookmarkEnd w:id="6"/>
      <w:bookmarkEnd w:id="7"/>
      <w:bookmarkEnd w:id="8"/>
      <w:bookmarkEnd w:id="9"/>
    </w:p>
    <w:p>
      <w:pPr>
        <w:spacing w:line="4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项目编号：CZYZC(2021)12号</w:t>
      </w:r>
    </w:p>
    <w:p>
      <w:pPr>
        <w:spacing w:line="4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项目名称：楚雄医药高等专科学校搬运服务采购项目</w:t>
      </w:r>
    </w:p>
    <w:p>
      <w:pPr>
        <w:spacing w:line="4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采购方式：竞争性谈判 </w:t>
      </w:r>
    </w:p>
    <w:bookmarkEnd w:id="10"/>
    <w:p>
      <w:pPr>
        <w:spacing w:line="46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预算金额（万元）：</w:t>
      </w:r>
      <w:r>
        <w:rPr>
          <w:rFonts w:hint="eastAsia" w:ascii="仿宋" w:hAnsi="仿宋" w:eastAsia="仿宋" w:cs="仿宋"/>
          <w:sz w:val="28"/>
          <w:szCs w:val="28"/>
          <w:highlight w:val="none"/>
          <w:lang w:val="en-US" w:eastAsia="zh-CN"/>
        </w:rPr>
        <w:t>3.00万元</w:t>
      </w:r>
    </w:p>
    <w:p>
      <w:pPr>
        <w:spacing w:line="4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最高限价（万元）：</w:t>
      </w:r>
      <w:r>
        <w:rPr>
          <w:rFonts w:hint="eastAsia" w:ascii="仿宋" w:hAnsi="仿宋" w:eastAsia="仿宋" w:cs="仿宋"/>
          <w:sz w:val="28"/>
          <w:szCs w:val="28"/>
          <w:highlight w:val="none"/>
          <w:lang w:val="en-US" w:eastAsia="zh-CN"/>
        </w:rPr>
        <w:t>3.00万元</w:t>
      </w:r>
    </w:p>
    <w:p>
      <w:pPr>
        <w:spacing w:line="4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采购需求：</w:t>
      </w:r>
      <w:r>
        <w:rPr>
          <w:rFonts w:hint="eastAsia" w:ascii="仿宋" w:hAnsi="仿宋" w:eastAsia="仿宋" w:cs="仿宋"/>
          <w:sz w:val="28"/>
          <w:szCs w:val="28"/>
          <w:highlight w:val="none"/>
          <w:lang w:eastAsia="zh-CN"/>
        </w:rPr>
        <w:t>搬运服务</w:t>
      </w:r>
    </w:p>
    <w:p>
      <w:pPr>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本项目不接受联合体投标。</w:t>
      </w:r>
    </w:p>
    <w:p>
      <w:pPr>
        <w:spacing w:line="460" w:lineRule="exact"/>
        <w:rPr>
          <w:rFonts w:ascii="仿宋" w:hAnsi="仿宋" w:eastAsia="仿宋" w:cs="仿宋"/>
          <w:sz w:val="28"/>
          <w:szCs w:val="28"/>
          <w:highlight w:val="none"/>
        </w:rPr>
      </w:pPr>
      <w:bookmarkStart w:id="11" w:name="_Toc31955_WPSOffice_Level2"/>
      <w:bookmarkStart w:id="12" w:name="_Toc35393622"/>
      <w:bookmarkStart w:id="13" w:name="_Toc28359080"/>
      <w:bookmarkStart w:id="14" w:name="_Toc35393791"/>
      <w:bookmarkStart w:id="15" w:name="_Toc44621996"/>
      <w:bookmarkStart w:id="16" w:name="_Toc28359003"/>
      <w:r>
        <w:rPr>
          <w:rFonts w:hint="eastAsia" w:ascii="仿宋" w:hAnsi="仿宋" w:eastAsia="仿宋" w:cs="仿宋"/>
          <w:sz w:val="28"/>
          <w:szCs w:val="28"/>
          <w:highlight w:val="none"/>
        </w:rPr>
        <w:t>二、申请人的资格要求</w:t>
      </w:r>
      <w:bookmarkEnd w:id="11"/>
      <w:bookmarkEnd w:id="12"/>
      <w:bookmarkEnd w:id="13"/>
      <w:bookmarkEnd w:id="14"/>
      <w:bookmarkEnd w:id="15"/>
      <w:bookmarkEnd w:id="16"/>
    </w:p>
    <w:p>
      <w:pPr>
        <w:spacing w:line="460" w:lineRule="exact"/>
        <w:ind w:firstLine="560" w:firstLineChars="200"/>
        <w:rPr>
          <w:rFonts w:ascii="仿宋" w:hAnsi="仿宋" w:eastAsia="仿宋" w:cs="仿宋"/>
          <w:sz w:val="28"/>
          <w:szCs w:val="28"/>
          <w:highlight w:val="none"/>
        </w:rPr>
      </w:pPr>
      <w:bookmarkStart w:id="17" w:name="_Toc29731_WPSOffice_Level3"/>
      <w:r>
        <w:rPr>
          <w:rFonts w:hint="eastAsia" w:ascii="仿宋" w:hAnsi="仿宋" w:eastAsia="仿宋" w:cs="仿宋"/>
          <w:sz w:val="28"/>
          <w:szCs w:val="28"/>
          <w:highlight w:val="none"/>
        </w:rPr>
        <w:t>1.满足《中华人民共和国政府采购法》第二十二条规定</w:t>
      </w:r>
      <w:bookmarkEnd w:id="17"/>
    </w:p>
    <w:p>
      <w:pPr>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1）具有独立承担民事责任的能力；</w:t>
      </w:r>
    </w:p>
    <w:p>
      <w:pPr>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2）具有良好的商业信誉和健全的财务会计制度；</w:t>
      </w:r>
    </w:p>
    <w:p>
      <w:pPr>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3）具有履行合同所必需的设备和专业技术能力；</w:t>
      </w:r>
    </w:p>
    <w:p>
      <w:pPr>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）参加政府采购活动前三年内，在经营活动中没有重大违法记录；</w:t>
      </w:r>
    </w:p>
    <w:p>
      <w:pPr>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）法律、行政法规规定的其他条件。</w:t>
      </w:r>
    </w:p>
    <w:p>
      <w:pPr>
        <w:spacing w:line="460" w:lineRule="exact"/>
        <w:ind w:firstLine="560" w:firstLineChars="200"/>
        <w:rPr>
          <w:rFonts w:ascii="仿宋" w:hAnsi="仿宋" w:eastAsia="仿宋" w:cs="仿宋"/>
          <w:sz w:val="28"/>
          <w:szCs w:val="28"/>
          <w:highlight w:val="none"/>
        </w:rPr>
      </w:pPr>
      <w:bookmarkStart w:id="18" w:name="_Toc31955_WPSOffice_Level3"/>
      <w:bookmarkStart w:id="19" w:name="_Toc28359081"/>
      <w:bookmarkStart w:id="20" w:name="_Toc28359004"/>
      <w:r>
        <w:rPr>
          <w:rFonts w:hint="eastAsia" w:ascii="仿宋" w:hAnsi="仿宋" w:eastAsia="仿宋" w:cs="仿宋"/>
          <w:sz w:val="28"/>
          <w:szCs w:val="28"/>
          <w:highlight w:val="none"/>
        </w:rPr>
        <w:t>2.落实政府采购政策需满足的资格要求：</w:t>
      </w:r>
      <w:bookmarkEnd w:id="18"/>
      <w:r>
        <w:rPr>
          <w:rFonts w:hint="eastAsia" w:ascii="仿宋" w:hAnsi="仿宋" w:eastAsia="仿宋" w:cs="仿宋"/>
          <w:sz w:val="28"/>
          <w:szCs w:val="28"/>
          <w:highlight w:val="none"/>
        </w:rPr>
        <w:t>无</w:t>
      </w:r>
    </w:p>
    <w:p>
      <w:pPr>
        <w:tabs>
          <w:tab w:val="left" w:pos="426"/>
        </w:tabs>
        <w:adjustRightInd w:val="0"/>
        <w:snapToGrid w:val="0"/>
        <w:spacing w:line="500" w:lineRule="exact"/>
        <w:ind w:firstLine="560" w:firstLineChars="200"/>
        <w:rPr>
          <w:rFonts w:ascii="宋体" w:hAnsi="宋体" w:cs="宋体"/>
          <w:kern w:val="0"/>
          <w:sz w:val="24"/>
          <w:szCs w:val="21"/>
          <w:highlight w:val="none"/>
        </w:rPr>
      </w:pPr>
      <w:bookmarkStart w:id="21" w:name="_Toc20584_WPSOffice_Level3"/>
      <w:r>
        <w:rPr>
          <w:rFonts w:hint="eastAsia" w:ascii="仿宋" w:hAnsi="仿宋" w:eastAsia="仿宋" w:cs="仿宋"/>
          <w:sz w:val="28"/>
          <w:szCs w:val="28"/>
          <w:highlight w:val="none"/>
        </w:rPr>
        <w:t>3.本项目的特定资格要求：</w:t>
      </w:r>
      <w:bookmarkEnd w:id="21"/>
    </w:p>
    <w:p>
      <w:pPr>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供应商在投标截止时间前未被列入“信用中国”网站（www.creditchina.gov.cn）失信被执行人、重大税收违法案件当事人名单、政府采购严重违法失信行为记录名单，供应商须提供查询结果网页截图和承诺函。若为失信企业，将取消中标资格。</w:t>
      </w:r>
    </w:p>
    <w:p>
      <w:pPr>
        <w:spacing w:line="460" w:lineRule="exact"/>
        <w:rPr>
          <w:rFonts w:ascii="仿宋" w:hAnsi="仿宋" w:eastAsia="仿宋" w:cs="仿宋"/>
          <w:sz w:val="28"/>
          <w:szCs w:val="28"/>
          <w:highlight w:val="none"/>
        </w:rPr>
      </w:pPr>
      <w:bookmarkStart w:id="22" w:name="_Toc35393792"/>
      <w:bookmarkStart w:id="23" w:name="_Toc35393623"/>
      <w:bookmarkStart w:id="24" w:name="_Toc20584_WPSOffice_Level2"/>
      <w:bookmarkStart w:id="25" w:name="_Toc44621997"/>
      <w:r>
        <w:rPr>
          <w:rFonts w:hint="eastAsia" w:ascii="仿宋" w:hAnsi="仿宋" w:eastAsia="仿宋" w:cs="仿宋"/>
          <w:sz w:val="28"/>
          <w:szCs w:val="28"/>
          <w:highlight w:val="none"/>
        </w:rPr>
        <w:t>三、获取采购文件</w:t>
      </w:r>
      <w:bookmarkEnd w:id="19"/>
      <w:bookmarkEnd w:id="20"/>
      <w:bookmarkEnd w:id="22"/>
      <w:bookmarkEnd w:id="23"/>
      <w:bookmarkEnd w:id="24"/>
      <w:bookmarkEnd w:id="25"/>
    </w:p>
    <w:p>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时间：2021年0</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17</w:t>
      </w:r>
      <w:r>
        <w:rPr>
          <w:rFonts w:hint="eastAsia" w:ascii="仿宋" w:hAnsi="仿宋" w:eastAsia="仿宋" w:cs="仿宋"/>
          <w:sz w:val="28"/>
          <w:szCs w:val="28"/>
          <w:highlight w:val="none"/>
        </w:rPr>
        <w:t>日至2021年0</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21</w:t>
      </w:r>
      <w:r>
        <w:rPr>
          <w:rFonts w:hint="eastAsia" w:ascii="仿宋" w:hAnsi="仿宋" w:eastAsia="仿宋" w:cs="仿宋"/>
          <w:sz w:val="28"/>
          <w:szCs w:val="28"/>
          <w:highlight w:val="none"/>
        </w:rPr>
        <w:t>日</w:t>
      </w:r>
    </w:p>
    <w:p>
      <w:pPr>
        <w:spacing w:line="460" w:lineRule="exact"/>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地点：</w:t>
      </w:r>
      <w:r>
        <w:rPr>
          <w:rFonts w:hint="eastAsia" w:ascii="仿宋" w:hAnsi="仿宋" w:eastAsia="仿宋" w:cs="仿宋"/>
          <w:sz w:val="28"/>
          <w:szCs w:val="28"/>
          <w:highlight w:val="none"/>
          <w:lang w:val="zh-CN"/>
        </w:rPr>
        <w:t>楚雄医药高等专科学校后勤处招标公示栏下载（网址：</w:t>
      </w:r>
      <w:r>
        <w:rPr>
          <w:rFonts w:hint="eastAsia" w:ascii="仿宋" w:hAnsi="仿宋" w:eastAsia="仿宋" w:cs="仿宋"/>
          <w:sz w:val="28"/>
          <w:szCs w:val="28"/>
          <w:highlight w:val="none"/>
          <w:lang w:val="zh-CN"/>
        </w:rPr>
        <w:fldChar w:fldCharType="begin"/>
      </w:r>
      <w:r>
        <w:rPr>
          <w:rFonts w:hint="eastAsia" w:ascii="仿宋" w:hAnsi="仿宋" w:eastAsia="仿宋" w:cs="仿宋"/>
          <w:sz w:val="28"/>
          <w:szCs w:val="28"/>
          <w:highlight w:val="none"/>
          <w:lang w:val="zh-CN"/>
        </w:rPr>
        <w:instrText xml:space="preserve"> HYPERLINK "http://hqc.cxmtc.net/default.html）" </w:instrText>
      </w:r>
      <w:r>
        <w:rPr>
          <w:rFonts w:hint="eastAsia" w:ascii="仿宋" w:hAnsi="仿宋" w:eastAsia="仿宋" w:cs="仿宋"/>
          <w:sz w:val="28"/>
          <w:szCs w:val="28"/>
          <w:highlight w:val="none"/>
          <w:lang w:val="zh-CN"/>
        </w:rPr>
        <w:fldChar w:fldCharType="separate"/>
      </w:r>
      <w:r>
        <w:rPr>
          <w:rStyle w:val="43"/>
          <w:rFonts w:hint="eastAsia" w:ascii="仿宋" w:hAnsi="仿宋" w:eastAsia="仿宋" w:cs="仿宋"/>
          <w:sz w:val="28"/>
          <w:szCs w:val="28"/>
          <w:highlight w:val="none"/>
          <w:lang w:val="zh-CN"/>
        </w:rPr>
        <w:t>http://hqc.cxmtc.net/default.html）</w:t>
      </w:r>
      <w:r>
        <w:rPr>
          <w:rFonts w:hint="eastAsia" w:ascii="仿宋" w:hAnsi="仿宋" w:eastAsia="仿宋" w:cs="仿宋"/>
          <w:sz w:val="28"/>
          <w:szCs w:val="28"/>
          <w:highlight w:val="none"/>
          <w:lang w:val="zh-CN"/>
        </w:rPr>
        <w:fldChar w:fldCharType="end"/>
      </w:r>
    </w:p>
    <w:p>
      <w:pPr>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方式：网上自行下载</w:t>
      </w:r>
    </w:p>
    <w:p>
      <w:pPr>
        <w:spacing w:line="460" w:lineRule="exact"/>
        <w:rPr>
          <w:rFonts w:ascii="仿宋" w:hAnsi="仿宋" w:eastAsia="仿宋" w:cs="仿宋"/>
          <w:sz w:val="28"/>
          <w:szCs w:val="28"/>
          <w:highlight w:val="none"/>
        </w:rPr>
      </w:pPr>
      <w:bookmarkStart w:id="26" w:name="_Toc28359082"/>
      <w:bookmarkStart w:id="27" w:name="_Toc28359005"/>
      <w:bookmarkStart w:id="28" w:name="_Toc26790_WPSOffice_Level2"/>
      <w:bookmarkStart w:id="29" w:name="_Toc44621998"/>
      <w:bookmarkStart w:id="30" w:name="_Toc35393793"/>
      <w:bookmarkStart w:id="31" w:name="_Toc35393624"/>
      <w:r>
        <w:rPr>
          <w:rFonts w:hint="eastAsia" w:ascii="仿宋" w:hAnsi="仿宋" w:eastAsia="仿宋" w:cs="仿宋"/>
          <w:sz w:val="28"/>
          <w:szCs w:val="28"/>
          <w:highlight w:val="none"/>
        </w:rPr>
        <w:t>四、</w:t>
      </w:r>
      <w:bookmarkEnd w:id="26"/>
      <w:bookmarkEnd w:id="27"/>
      <w:r>
        <w:rPr>
          <w:rFonts w:hint="eastAsia" w:ascii="仿宋" w:hAnsi="仿宋" w:eastAsia="仿宋" w:cs="仿宋"/>
          <w:sz w:val="28"/>
          <w:szCs w:val="28"/>
          <w:highlight w:val="none"/>
        </w:rPr>
        <w:t>响应文件提交</w:t>
      </w:r>
    </w:p>
    <w:p>
      <w:pPr>
        <w:spacing w:line="46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    截止时间</w:t>
      </w:r>
      <w:bookmarkEnd w:id="28"/>
      <w:bookmarkEnd w:id="29"/>
      <w:bookmarkEnd w:id="30"/>
      <w:bookmarkEnd w:id="31"/>
      <w:r>
        <w:rPr>
          <w:rFonts w:hint="eastAsia" w:ascii="仿宋" w:hAnsi="仿宋" w:eastAsia="仿宋" w:cs="仿宋"/>
          <w:sz w:val="28"/>
          <w:szCs w:val="28"/>
          <w:highlight w:val="none"/>
        </w:rPr>
        <w:t>：2021年0</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22</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lang w:eastAsia="zh-CN"/>
        </w:rPr>
        <w:t>点</w:t>
      </w:r>
      <w:r>
        <w:rPr>
          <w:rFonts w:hint="eastAsia" w:ascii="仿宋" w:hAnsi="仿宋" w:eastAsia="仿宋" w:cs="仿宋"/>
          <w:sz w:val="28"/>
          <w:szCs w:val="28"/>
          <w:highlight w:val="none"/>
        </w:rPr>
        <w:t xml:space="preserve"> 00 分至</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点30 分（北京时间）</w:t>
      </w:r>
    </w:p>
    <w:p>
      <w:pPr>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地点：楚雄医药高等专科学校远志楼8楼保卫处会议室</w:t>
      </w:r>
    </w:p>
    <w:p>
      <w:pPr>
        <w:pStyle w:val="13"/>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五、开启</w:t>
      </w:r>
    </w:p>
    <w:p>
      <w:pPr>
        <w:spacing w:line="460" w:lineRule="exact"/>
        <w:rPr>
          <w:rFonts w:ascii="仿宋" w:hAnsi="仿宋" w:eastAsia="仿宋" w:cs="仿宋"/>
          <w:sz w:val="28"/>
          <w:szCs w:val="28"/>
          <w:highlight w:val="none"/>
        </w:rPr>
      </w:pPr>
      <w:r>
        <w:rPr>
          <w:rFonts w:hint="eastAsia"/>
          <w:highlight w:val="none"/>
        </w:rPr>
        <w:t xml:space="preserve">   </w:t>
      </w:r>
      <w:r>
        <w:rPr>
          <w:rFonts w:hint="eastAsia" w:ascii="仿宋" w:hAnsi="仿宋" w:eastAsia="仿宋" w:cs="仿宋"/>
          <w:sz w:val="28"/>
          <w:szCs w:val="28"/>
          <w:highlight w:val="none"/>
        </w:rPr>
        <w:t xml:space="preserve">  时间：2021年0</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22</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点30 分（北京时间）</w:t>
      </w:r>
    </w:p>
    <w:p>
      <w:pPr>
        <w:spacing w:line="46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地点：</w:t>
      </w:r>
      <w:bookmarkStart w:id="32" w:name="_Toc4901_WPSOffice_Level2"/>
      <w:r>
        <w:rPr>
          <w:rFonts w:hint="eastAsia" w:ascii="仿宋" w:hAnsi="仿宋" w:eastAsia="仿宋" w:cs="仿宋"/>
          <w:sz w:val="28"/>
          <w:szCs w:val="28"/>
          <w:highlight w:val="none"/>
        </w:rPr>
        <w:t>楚雄医药高等专科学校远志楼8楼保卫处会议室</w:t>
      </w:r>
    </w:p>
    <w:p>
      <w:pPr>
        <w:spacing w:line="460" w:lineRule="exact"/>
        <w:rPr>
          <w:rFonts w:ascii="仿宋" w:hAnsi="仿宋" w:eastAsia="仿宋" w:cs="仿宋"/>
          <w:sz w:val="28"/>
          <w:szCs w:val="28"/>
          <w:highlight w:val="none"/>
        </w:rPr>
      </w:pPr>
      <w:r>
        <w:rPr>
          <w:rFonts w:hint="eastAsia" w:ascii="仿宋" w:hAnsi="仿宋" w:eastAsia="仿宋" w:cs="仿宋"/>
          <w:sz w:val="28"/>
          <w:szCs w:val="28"/>
          <w:highlight w:val="none"/>
        </w:rPr>
        <w:t>六、公告期限</w:t>
      </w:r>
      <w:bookmarkEnd w:id="32"/>
    </w:p>
    <w:p>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自本公告发布之日起</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个</w:t>
      </w:r>
      <w:r>
        <w:rPr>
          <w:rFonts w:hint="eastAsia" w:ascii="仿宋" w:hAnsi="仿宋" w:eastAsia="仿宋" w:cs="仿宋"/>
          <w:sz w:val="28"/>
          <w:szCs w:val="28"/>
          <w:highlight w:val="none"/>
          <w:lang w:eastAsia="zh-CN"/>
        </w:rPr>
        <w:t>日历</w:t>
      </w:r>
      <w:r>
        <w:rPr>
          <w:rFonts w:hint="eastAsia" w:ascii="仿宋" w:hAnsi="仿宋" w:eastAsia="仿宋" w:cs="仿宋"/>
          <w:sz w:val="28"/>
          <w:szCs w:val="28"/>
          <w:highlight w:val="none"/>
        </w:rPr>
        <w:t>日</w:t>
      </w:r>
    </w:p>
    <w:p>
      <w:pPr>
        <w:spacing w:line="460" w:lineRule="exact"/>
        <w:rPr>
          <w:rFonts w:ascii="仿宋" w:hAnsi="仿宋" w:eastAsia="仿宋" w:cs="仿宋"/>
          <w:sz w:val="28"/>
          <w:szCs w:val="28"/>
          <w:highlight w:val="none"/>
        </w:rPr>
      </w:pPr>
      <w:bookmarkStart w:id="33" w:name="_Toc35393795"/>
      <w:bookmarkStart w:id="34" w:name="_Toc44622000"/>
      <w:bookmarkStart w:id="35" w:name="_Toc35393626"/>
      <w:bookmarkStart w:id="36" w:name="_Toc30065_WPSOffice_Level2"/>
      <w:r>
        <w:rPr>
          <w:rFonts w:hint="eastAsia" w:ascii="仿宋" w:hAnsi="仿宋" w:eastAsia="仿宋" w:cs="仿宋"/>
          <w:sz w:val="28"/>
          <w:szCs w:val="28"/>
          <w:highlight w:val="none"/>
        </w:rPr>
        <w:t>七、其他补充事宜</w:t>
      </w:r>
      <w:bookmarkEnd w:id="33"/>
      <w:bookmarkEnd w:id="34"/>
      <w:bookmarkEnd w:id="35"/>
      <w:bookmarkEnd w:id="36"/>
    </w:p>
    <w:p>
      <w:pPr>
        <w:spacing w:line="46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   （一）本项目采用纸质评标，在规定的响应文件递交的时间现场报名并递交响应文件。</w:t>
      </w:r>
    </w:p>
    <w:p>
      <w:pPr>
        <w:spacing w:line="46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   （二）递交响应文件截止时间到，仍未按谈判文件的要求</w:t>
      </w:r>
      <w:r>
        <w:rPr>
          <w:rFonts w:hint="eastAsia" w:ascii="仿宋" w:hAnsi="仿宋" w:eastAsia="仿宋" w:cs="仿宋"/>
          <w:sz w:val="28"/>
          <w:szCs w:val="28"/>
          <w:highlight w:val="none"/>
          <w:lang w:eastAsia="zh-CN"/>
        </w:rPr>
        <w:t>到达</w:t>
      </w:r>
      <w:r>
        <w:rPr>
          <w:rFonts w:hint="eastAsia" w:ascii="仿宋" w:hAnsi="仿宋" w:eastAsia="仿宋" w:cs="仿宋"/>
          <w:sz w:val="28"/>
          <w:szCs w:val="28"/>
          <w:highlight w:val="none"/>
        </w:rPr>
        <w:t>，视为自动放弃投标。</w:t>
      </w:r>
    </w:p>
    <w:p>
      <w:pPr>
        <w:spacing w:line="460" w:lineRule="exact"/>
        <w:ind w:firstLine="560" w:firstLineChars="200"/>
        <w:rPr>
          <w:rFonts w:hint="eastAsia" w:ascii="仿宋" w:hAnsi="仿宋" w:eastAsia="仿宋" w:cs="仿宋"/>
          <w:kern w:val="0"/>
          <w:sz w:val="28"/>
          <w:szCs w:val="28"/>
          <w:highlight w:val="none"/>
        </w:rPr>
      </w:pPr>
      <w:bookmarkStart w:id="37" w:name="_Toc14054_WPSOffice_Level2"/>
      <w:bookmarkStart w:id="38" w:name="_Toc35393627"/>
      <w:bookmarkStart w:id="39" w:name="_Toc28359008"/>
      <w:bookmarkStart w:id="40" w:name="_Toc28359085"/>
      <w:bookmarkStart w:id="41" w:name="_Toc35393796"/>
      <w:bookmarkStart w:id="42" w:name="_Toc44622001"/>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三</w:t>
      </w:r>
      <w:r>
        <w:rPr>
          <w:rFonts w:hint="eastAsia" w:ascii="仿宋" w:hAnsi="仿宋" w:eastAsia="仿宋" w:cs="仿宋"/>
          <w:sz w:val="28"/>
          <w:szCs w:val="28"/>
          <w:highlight w:val="none"/>
        </w:rPr>
        <w:t>）</w:t>
      </w:r>
      <w:r>
        <w:rPr>
          <w:rFonts w:hint="eastAsia" w:ascii="仿宋" w:hAnsi="仿宋" w:eastAsia="仿宋" w:cs="仿宋"/>
          <w:kern w:val="0"/>
          <w:sz w:val="28"/>
          <w:szCs w:val="28"/>
          <w:highlight w:val="none"/>
        </w:rPr>
        <w:t>法人代表或授权代表须准时到会，出示身份证原件并签名以示出席；否则，其谈判将被拒绝。</w:t>
      </w:r>
    </w:p>
    <w:p>
      <w:pPr>
        <w:pStyle w:val="45"/>
        <w:ind w:firstLine="560" w:firstLineChars="200"/>
        <w:rPr>
          <w:rFonts w:hint="eastAsia" w:eastAsia="仿宋"/>
          <w:highlight w:val="none"/>
          <w:lang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四</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响应供应商应严格遵守楚雄市及学校疫情防控要求。</w:t>
      </w:r>
    </w:p>
    <w:p>
      <w:pPr>
        <w:spacing w:line="460" w:lineRule="exact"/>
        <w:rPr>
          <w:rFonts w:ascii="仿宋" w:hAnsi="仿宋" w:eastAsia="仿宋" w:cs="仿宋"/>
          <w:kern w:val="0"/>
          <w:sz w:val="28"/>
          <w:szCs w:val="28"/>
          <w:highlight w:val="none"/>
        </w:rPr>
      </w:pPr>
      <w:r>
        <w:rPr>
          <w:rFonts w:hint="eastAsia" w:ascii="仿宋" w:hAnsi="仿宋" w:eastAsia="仿宋" w:cs="仿宋"/>
          <w:sz w:val="28"/>
          <w:szCs w:val="28"/>
          <w:highlight w:val="none"/>
        </w:rPr>
        <w:t>八、</w:t>
      </w:r>
      <w:r>
        <w:rPr>
          <w:rFonts w:hint="eastAsia" w:ascii="仿宋" w:hAnsi="仿宋" w:eastAsia="仿宋" w:cs="仿宋"/>
          <w:kern w:val="0"/>
          <w:sz w:val="28"/>
          <w:szCs w:val="28"/>
          <w:highlight w:val="none"/>
        </w:rPr>
        <w:t>谈判保证金：</w:t>
      </w:r>
    </w:p>
    <w:p>
      <w:pPr>
        <w:spacing w:line="460" w:lineRule="exact"/>
        <w:ind w:firstLine="560" w:firstLineChars="200"/>
        <w:rPr>
          <w:rFonts w:hint="eastAsia" w:ascii="仿宋" w:hAnsi="仿宋" w:eastAsia="仿宋" w:cs="仿宋"/>
          <w:color w:val="000000"/>
          <w:kern w:val="0"/>
          <w:sz w:val="28"/>
          <w:szCs w:val="28"/>
          <w:highlight w:val="none"/>
          <w:lang w:val="en-US" w:eastAsia="zh-CN" w:bidi="ar-SA"/>
        </w:rPr>
      </w:pPr>
      <w:r>
        <w:rPr>
          <w:rFonts w:hint="eastAsia" w:ascii="仿宋" w:hAnsi="仿宋" w:eastAsia="仿宋" w:cs="仿宋"/>
          <w:sz w:val="28"/>
          <w:szCs w:val="28"/>
          <w:highlight w:val="none"/>
        </w:rPr>
        <w:t>保证金的形式：现金，保证金的金额</w:t>
      </w:r>
      <w:r>
        <w:rPr>
          <w:rFonts w:hint="eastAsia" w:ascii="仿宋" w:hAnsi="仿宋" w:eastAsia="仿宋" w:cs="仿宋"/>
          <w:color w:val="000000"/>
          <w:kern w:val="0"/>
          <w:sz w:val="28"/>
          <w:szCs w:val="28"/>
          <w:highlight w:val="none"/>
          <w:lang w:val="en-US" w:eastAsia="zh-CN" w:bidi="ar-SA"/>
        </w:rPr>
        <w:t>：¥600.00（大写：人民币陆佰元整）。请自备信封，当场清点密封后递交。未成交供应商的保证金在评标结束后当场退还，成交供应商的保证金在合同签订后无息退还。未提交保证金不得参加本项目谈判。</w:t>
      </w:r>
    </w:p>
    <w:p>
      <w:pPr>
        <w:spacing w:line="460" w:lineRule="exact"/>
        <w:rPr>
          <w:rFonts w:ascii="仿宋" w:hAnsi="仿宋" w:eastAsia="仿宋" w:cs="仿宋"/>
          <w:sz w:val="28"/>
          <w:szCs w:val="28"/>
          <w:highlight w:val="none"/>
        </w:rPr>
      </w:pPr>
      <w:r>
        <w:rPr>
          <w:rFonts w:hint="eastAsia" w:ascii="仿宋" w:hAnsi="仿宋" w:eastAsia="仿宋" w:cs="仿宋"/>
          <w:sz w:val="28"/>
          <w:szCs w:val="28"/>
          <w:highlight w:val="none"/>
          <w:lang w:eastAsia="zh-CN"/>
        </w:rPr>
        <w:t>九</w:t>
      </w:r>
      <w:r>
        <w:rPr>
          <w:rFonts w:hint="eastAsia" w:ascii="仿宋" w:hAnsi="仿宋" w:eastAsia="仿宋" w:cs="仿宋"/>
          <w:sz w:val="28"/>
          <w:szCs w:val="28"/>
          <w:highlight w:val="none"/>
        </w:rPr>
        <w:t>、对本次招标提出询问，请按以下方式联系。</w:t>
      </w:r>
      <w:bookmarkEnd w:id="37"/>
      <w:bookmarkEnd w:id="38"/>
      <w:bookmarkEnd w:id="39"/>
      <w:bookmarkEnd w:id="40"/>
      <w:bookmarkEnd w:id="41"/>
      <w:bookmarkEnd w:id="42"/>
    </w:p>
    <w:p>
      <w:pPr>
        <w:spacing w:line="460" w:lineRule="exact"/>
        <w:ind w:firstLine="560" w:firstLineChars="200"/>
        <w:rPr>
          <w:rFonts w:ascii="仿宋" w:hAnsi="仿宋" w:eastAsia="仿宋" w:cs="仿宋"/>
          <w:sz w:val="28"/>
          <w:szCs w:val="28"/>
          <w:highlight w:val="none"/>
        </w:rPr>
      </w:pPr>
      <w:bookmarkStart w:id="43" w:name="_Toc26790_WPSOffice_Level3"/>
      <w:r>
        <w:rPr>
          <w:rFonts w:hint="eastAsia" w:ascii="仿宋" w:hAnsi="仿宋" w:eastAsia="仿宋" w:cs="仿宋"/>
          <w:sz w:val="28"/>
          <w:szCs w:val="28"/>
          <w:highlight w:val="none"/>
        </w:rPr>
        <w:t>采购人信息</w:t>
      </w:r>
      <w:bookmarkEnd w:id="43"/>
    </w:p>
    <w:p>
      <w:pPr>
        <w:spacing w:line="4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名 称：</w:t>
      </w:r>
      <w:r>
        <w:rPr>
          <w:rFonts w:hint="eastAsia" w:ascii="仿宋" w:hAnsi="仿宋" w:eastAsia="仿宋" w:cs="仿宋"/>
          <w:sz w:val="28"/>
          <w:szCs w:val="28"/>
          <w:highlight w:val="none"/>
          <w:lang w:eastAsia="zh-CN"/>
        </w:rPr>
        <w:t>楚雄医药高等专科学校</w:t>
      </w:r>
    </w:p>
    <w:p>
      <w:pPr>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地 址：楚雄市东瓜镇  </w:t>
      </w:r>
    </w:p>
    <w:p>
      <w:pPr>
        <w:spacing w:line="46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联系方式：</w:t>
      </w:r>
      <w:bookmarkStart w:id="44" w:name="_Toc28359009"/>
      <w:bookmarkStart w:id="45" w:name="_Toc28359086"/>
      <w:r>
        <w:rPr>
          <w:rFonts w:hint="eastAsia" w:ascii="仿宋" w:hAnsi="仿宋" w:eastAsia="仿宋" w:cs="仿宋"/>
          <w:sz w:val="28"/>
          <w:szCs w:val="28"/>
          <w:highlight w:val="none"/>
        </w:rPr>
        <w:t>0878-</w:t>
      </w:r>
      <w:r>
        <w:rPr>
          <w:rFonts w:hint="eastAsia" w:ascii="仿宋" w:hAnsi="仿宋" w:eastAsia="仿宋" w:cs="仿宋"/>
          <w:sz w:val="28"/>
          <w:szCs w:val="28"/>
          <w:highlight w:val="none"/>
          <w:lang w:val="en-US" w:eastAsia="zh-CN"/>
        </w:rPr>
        <w:t>3875679</w:t>
      </w:r>
    </w:p>
    <w:bookmarkEnd w:id="44"/>
    <w:bookmarkEnd w:id="45"/>
    <w:p>
      <w:pPr>
        <w:spacing w:line="460" w:lineRule="exact"/>
        <w:ind w:firstLine="560" w:firstLineChars="200"/>
        <w:rPr>
          <w:highlight w:val="none"/>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 xml:space="preserve">  赵</w:t>
      </w:r>
      <w:r>
        <w:rPr>
          <w:rFonts w:hint="eastAsia" w:ascii="仿宋" w:hAnsi="仿宋" w:eastAsia="仿宋" w:cs="仿宋"/>
          <w:sz w:val="28"/>
          <w:szCs w:val="28"/>
          <w:highlight w:val="none"/>
        </w:rPr>
        <w:t xml:space="preserve">老师   </w:t>
      </w:r>
      <w:r>
        <w:rPr>
          <w:rFonts w:ascii="宋体" w:hAnsi="宋体"/>
          <w:sz w:val="24"/>
          <w:highlight w:val="none"/>
        </w:rPr>
        <w:br w:type="page"/>
      </w:r>
    </w:p>
    <w:p>
      <w:pPr>
        <w:pStyle w:val="3"/>
        <w:ind w:left="0" w:firstLine="0"/>
        <w:jc w:val="center"/>
        <w:rPr>
          <w:rFonts w:ascii="黑体"/>
          <w:sz w:val="32"/>
          <w:szCs w:val="32"/>
          <w:highlight w:val="none"/>
        </w:rPr>
      </w:pPr>
      <w:bookmarkStart w:id="46" w:name="_Toc60996675"/>
      <w:bookmarkStart w:id="47" w:name="_Toc25948_WPSOffice_Level1"/>
      <w:bookmarkStart w:id="48" w:name="_Toc843"/>
      <w:bookmarkStart w:id="49" w:name="_第二章__投标人须知"/>
      <w:r>
        <w:rPr>
          <w:rFonts w:hint="eastAsia" w:ascii="黑体"/>
          <w:sz w:val="32"/>
          <w:szCs w:val="32"/>
          <w:highlight w:val="none"/>
        </w:rPr>
        <w:t>第二章</w:t>
      </w:r>
      <w:bookmarkEnd w:id="46"/>
      <w:bookmarkEnd w:id="47"/>
      <w:r>
        <w:rPr>
          <w:rFonts w:hint="eastAsia" w:ascii="黑体"/>
          <w:sz w:val="32"/>
          <w:szCs w:val="32"/>
          <w:highlight w:val="none"/>
        </w:rPr>
        <w:t xml:space="preserve">   供应商须知</w:t>
      </w:r>
      <w:bookmarkEnd w:id="48"/>
    </w:p>
    <w:p>
      <w:pPr>
        <w:rPr>
          <w:highlight w:val="none"/>
        </w:rPr>
      </w:pPr>
    </w:p>
    <w:p>
      <w:pPr>
        <w:pStyle w:val="13"/>
        <w:rPr>
          <w:highlight w:val="none"/>
        </w:rPr>
      </w:pPr>
      <w:r>
        <w:rPr>
          <w:rFonts w:hint="eastAsia"/>
          <w:highlight w:val="none"/>
        </w:rPr>
        <w:t xml:space="preserve">                            供应商须知前附表</w:t>
      </w:r>
    </w:p>
    <w:tbl>
      <w:tblPr>
        <w:tblStyle w:val="37"/>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43"/>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trPr>
        <w:tc>
          <w:tcPr>
            <w:tcW w:w="709" w:type="dxa"/>
            <w:tcBorders>
              <w:top w:val="thinThickSmallGap" w:color="auto" w:sz="18" w:space="0"/>
              <w:left w:val="thinThick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序号</w:t>
            </w:r>
          </w:p>
        </w:tc>
        <w:tc>
          <w:tcPr>
            <w:tcW w:w="1843" w:type="dxa"/>
            <w:tcBorders>
              <w:top w:val="thinThick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项目名称</w:t>
            </w:r>
          </w:p>
        </w:tc>
        <w:tc>
          <w:tcPr>
            <w:tcW w:w="6520" w:type="dxa"/>
            <w:tcBorders>
              <w:top w:val="thinThickSmallGap" w:color="auto" w:sz="18" w:space="0"/>
              <w:right w:val="thickThin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内　　</w:t>
            </w:r>
            <w:r>
              <w:rPr>
                <w:rFonts w:ascii="宋体" w:hAnsi="宋体" w:cs="宋体"/>
                <w:sz w:val="24"/>
                <w:szCs w:val="24"/>
                <w:highlight w:val="none"/>
              </w:rPr>
              <w:t>　　</w:t>
            </w:r>
            <w:r>
              <w:rPr>
                <w:rFonts w:hint="eastAsia" w:ascii="宋体" w:hAnsi="宋体" w:cs="宋体"/>
                <w:sz w:val="24"/>
                <w:szCs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tcBorders>
              <w:left w:val="thinThick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ascii="宋体" w:hAnsi="宋体" w:cs="宋体"/>
                <w:sz w:val="24"/>
                <w:szCs w:val="24"/>
                <w:highlight w:val="none"/>
              </w:rPr>
              <w:t>1</w:t>
            </w:r>
          </w:p>
        </w:tc>
        <w:tc>
          <w:tcPr>
            <w:tcW w:w="1843" w:type="dxa"/>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采购单位</w:t>
            </w:r>
          </w:p>
        </w:tc>
        <w:tc>
          <w:tcPr>
            <w:tcW w:w="6520" w:type="dxa"/>
            <w:tcBorders>
              <w:right w:val="thickThinSmallGap" w:color="auto" w:sz="18" w:space="0"/>
            </w:tcBorders>
            <w:noWrap/>
            <w:vAlign w:val="center"/>
          </w:tcPr>
          <w:p>
            <w:pPr>
              <w:adjustRightInd w:val="0"/>
              <w:snapToGrid w:val="0"/>
              <w:spacing w:beforeLines="50" w:line="360" w:lineRule="auto"/>
              <w:rPr>
                <w:rFonts w:ascii="宋体" w:hAnsi="宋体" w:cs="宋体"/>
                <w:sz w:val="24"/>
                <w:highlight w:val="none"/>
              </w:rPr>
            </w:pPr>
            <w:r>
              <w:rPr>
                <w:rFonts w:hint="eastAsia" w:ascii="宋体" w:hAnsi="宋体" w:cs="宋体"/>
                <w:sz w:val="24"/>
                <w:highlight w:val="none"/>
              </w:rPr>
              <w:t>名称：楚雄医药高等专科学校</w:t>
            </w:r>
          </w:p>
          <w:p>
            <w:pPr>
              <w:adjustRightInd w:val="0"/>
              <w:snapToGrid w:val="0"/>
              <w:spacing w:beforeLines="50" w:line="360" w:lineRule="auto"/>
              <w:rPr>
                <w:rFonts w:ascii="宋体" w:hAnsi="宋体" w:cs="宋体"/>
                <w:sz w:val="24"/>
                <w:highlight w:val="none"/>
              </w:rPr>
            </w:pPr>
            <w:r>
              <w:rPr>
                <w:rFonts w:hint="eastAsia" w:ascii="宋体" w:hAnsi="宋体" w:cs="宋体"/>
                <w:sz w:val="24"/>
                <w:highlight w:val="none"/>
              </w:rPr>
              <w:t xml:space="preserve">地址：楚雄市东瓜镇  </w:t>
            </w:r>
          </w:p>
          <w:p>
            <w:pPr>
              <w:adjustRightInd w:val="0"/>
              <w:snapToGrid w:val="0"/>
              <w:spacing w:beforeLines="50" w:line="360" w:lineRule="auto"/>
              <w:rPr>
                <w:rFonts w:hint="default" w:ascii="宋体" w:hAnsi="宋体" w:cs="宋体"/>
                <w:sz w:val="24"/>
                <w:highlight w:val="none"/>
                <w:lang w:val="en-US" w:eastAsia="zh-CN"/>
              </w:rPr>
            </w:pPr>
            <w:r>
              <w:rPr>
                <w:rFonts w:hint="eastAsia" w:ascii="宋体" w:hAnsi="宋体" w:cs="宋体"/>
                <w:sz w:val="24"/>
                <w:highlight w:val="none"/>
              </w:rPr>
              <w:t>联系方式：0878-</w:t>
            </w:r>
            <w:r>
              <w:rPr>
                <w:rFonts w:hint="eastAsia" w:ascii="宋体" w:hAnsi="宋体" w:cs="宋体"/>
                <w:sz w:val="24"/>
                <w:highlight w:val="none"/>
                <w:lang w:val="en-US" w:eastAsia="zh-CN"/>
              </w:rPr>
              <w:t>3875679</w:t>
            </w:r>
          </w:p>
          <w:p>
            <w:pPr>
              <w:adjustRightInd w:val="0"/>
              <w:snapToGrid w:val="0"/>
              <w:spacing w:beforeLines="50" w:line="360" w:lineRule="auto"/>
              <w:rPr>
                <w:rFonts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lang w:val="en-US" w:eastAsia="zh-CN"/>
              </w:rPr>
              <w:t xml:space="preserve">  赵</w:t>
            </w:r>
            <w:r>
              <w:rPr>
                <w:rFonts w:hint="eastAsia" w:ascii="宋体" w:hAnsi="宋体" w:cs="宋体"/>
                <w:sz w:val="24"/>
                <w:highlight w:val="none"/>
              </w:rPr>
              <w:t xml:space="preserve">老师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709" w:type="dxa"/>
            <w:tcBorders>
              <w:left w:val="thinThick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ascii="宋体" w:hAnsi="宋体" w:cs="宋体"/>
                <w:sz w:val="24"/>
                <w:szCs w:val="24"/>
                <w:highlight w:val="none"/>
              </w:rPr>
              <w:t>2</w:t>
            </w:r>
          </w:p>
        </w:tc>
        <w:tc>
          <w:tcPr>
            <w:tcW w:w="1843" w:type="dxa"/>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采购代理机构</w:t>
            </w:r>
          </w:p>
        </w:tc>
        <w:tc>
          <w:tcPr>
            <w:tcW w:w="6520" w:type="dxa"/>
            <w:tcBorders>
              <w:right w:val="thickThinSmallGap" w:color="auto" w:sz="18" w:space="0"/>
            </w:tcBorders>
            <w:noWrap/>
            <w:vAlign w:val="center"/>
          </w:tcPr>
          <w:p>
            <w:pPr>
              <w:spacing w:line="400" w:lineRule="exact"/>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09" w:type="dxa"/>
            <w:tcBorders>
              <w:left w:val="thinThick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3</w:t>
            </w:r>
          </w:p>
        </w:tc>
        <w:tc>
          <w:tcPr>
            <w:tcW w:w="1843" w:type="dxa"/>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项目名称</w:t>
            </w:r>
          </w:p>
        </w:tc>
        <w:tc>
          <w:tcPr>
            <w:tcW w:w="6520" w:type="dxa"/>
            <w:tcBorders>
              <w:right w:val="thickThinSmallGap" w:color="auto" w:sz="18" w:space="0"/>
            </w:tcBorders>
            <w:noWrap/>
            <w:vAlign w:val="center"/>
          </w:tcPr>
          <w:p>
            <w:pPr>
              <w:spacing w:line="400" w:lineRule="exact"/>
              <w:rPr>
                <w:rFonts w:hint="eastAsia" w:ascii="宋体" w:hAnsi="宋体" w:eastAsia="宋体" w:cs="宋体"/>
                <w:sz w:val="24"/>
                <w:highlight w:val="none"/>
                <w:lang w:eastAsia="zh-CN"/>
              </w:rPr>
            </w:pPr>
            <w:r>
              <w:rPr>
                <w:rFonts w:hint="eastAsia" w:ascii="宋体" w:hAnsi="宋体" w:cs="宋体"/>
                <w:sz w:val="24"/>
                <w:highlight w:val="none"/>
                <w:lang w:eastAsia="zh-CN"/>
              </w:rPr>
              <w:t>楚雄医药高等专科学校搬运服务采购项目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09" w:type="dxa"/>
            <w:tcBorders>
              <w:left w:val="thinThick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4</w:t>
            </w:r>
          </w:p>
        </w:tc>
        <w:tc>
          <w:tcPr>
            <w:tcW w:w="1843" w:type="dxa"/>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项目编号</w:t>
            </w:r>
          </w:p>
        </w:tc>
        <w:tc>
          <w:tcPr>
            <w:tcW w:w="6520" w:type="dxa"/>
            <w:tcBorders>
              <w:right w:val="thickThinSmallGap" w:color="auto" w:sz="18" w:space="0"/>
            </w:tcBorders>
            <w:noWrap/>
            <w:vAlign w:val="center"/>
          </w:tcPr>
          <w:p>
            <w:pPr>
              <w:spacing w:line="460" w:lineRule="exact"/>
              <w:rPr>
                <w:rFonts w:ascii="宋体" w:hAnsi="宋体" w:cs="宋体"/>
                <w:sz w:val="24"/>
                <w:highlight w:val="none"/>
              </w:rPr>
            </w:pPr>
            <w:r>
              <w:rPr>
                <w:rFonts w:hint="eastAsia" w:ascii="宋体" w:hAnsi="宋体" w:cs="宋体"/>
                <w:sz w:val="24"/>
                <w:highlight w:val="none"/>
              </w:rPr>
              <w:t xml:space="preserve">CZYZC(2021) </w:t>
            </w:r>
            <w:r>
              <w:rPr>
                <w:rFonts w:hint="eastAsia" w:ascii="宋体" w:hAnsi="宋体" w:cs="宋体"/>
                <w:sz w:val="24"/>
                <w:highlight w:val="none"/>
                <w:lang w:val="en-US" w:eastAsia="zh-CN"/>
              </w:rPr>
              <w:t>12</w:t>
            </w:r>
            <w:r>
              <w:rPr>
                <w:rFonts w:hint="eastAsia" w:ascii="宋体" w:hAnsi="宋体" w:cs="宋体"/>
                <w:sz w:val="24"/>
                <w:highlight w:val="none"/>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9" w:type="dxa"/>
            <w:tcBorders>
              <w:left w:val="thinThick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5</w:t>
            </w:r>
          </w:p>
        </w:tc>
        <w:tc>
          <w:tcPr>
            <w:tcW w:w="1843" w:type="dxa"/>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采购预算</w:t>
            </w:r>
          </w:p>
        </w:tc>
        <w:tc>
          <w:tcPr>
            <w:tcW w:w="6520" w:type="dxa"/>
            <w:tcBorders>
              <w:right w:val="thickThinSmallGap" w:color="auto" w:sz="18" w:space="0"/>
            </w:tcBorders>
            <w:noWrap/>
            <w:vAlign w:val="center"/>
          </w:tcPr>
          <w:p>
            <w:pPr>
              <w:spacing w:line="400" w:lineRule="exact"/>
              <w:rPr>
                <w:rFonts w:ascii="宋体" w:hAnsi="宋体" w:cs="宋体"/>
                <w:sz w:val="24"/>
                <w:highlight w:val="none"/>
              </w:rPr>
            </w:pPr>
            <w:r>
              <w:rPr>
                <w:rFonts w:hint="eastAsia" w:ascii="宋体" w:hAnsi="宋体" w:cs="宋体"/>
                <w:sz w:val="24"/>
                <w:highlight w:val="none"/>
              </w:rPr>
              <w:t>本项目的采购预算为</w:t>
            </w:r>
            <w:r>
              <w:rPr>
                <w:rFonts w:hint="eastAsia" w:ascii="宋体" w:hAnsi="宋体" w:cs="宋体"/>
                <w:sz w:val="24"/>
                <w:highlight w:val="none"/>
                <w:lang w:val="en-US" w:eastAsia="zh-CN"/>
              </w:rPr>
              <w:t>3.00</w:t>
            </w:r>
            <w:r>
              <w:rPr>
                <w:rFonts w:hint="eastAsia" w:ascii="宋体" w:hAnsi="宋体" w:cs="宋体"/>
                <w:sz w:val="24"/>
                <w:highlight w:val="none"/>
              </w:rPr>
              <w:t>万元（大写：</w:t>
            </w:r>
            <w:r>
              <w:rPr>
                <w:rFonts w:hint="eastAsia" w:ascii="宋体" w:hAnsi="宋体" w:cs="宋体"/>
                <w:sz w:val="24"/>
                <w:highlight w:val="none"/>
                <w:lang w:eastAsia="zh-CN"/>
              </w:rPr>
              <w:t>叁万元整</w:t>
            </w:r>
            <w:r>
              <w:rPr>
                <w:rFonts w:hint="eastAsia" w:ascii="宋体" w:hAnsi="宋体" w:cs="宋体"/>
                <w:sz w:val="24"/>
                <w:highlight w:val="none"/>
              </w:rPr>
              <w:t>），供应商响应文件报价和谈判最后报价不得超过采购预算，否则报价无效。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09" w:type="dxa"/>
            <w:tcBorders>
              <w:left w:val="thinThick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6</w:t>
            </w:r>
          </w:p>
        </w:tc>
        <w:tc>
          <w:tcPr>
            <w:tcW w:w="1843" w:type="dxa"/>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采购内容</w:t>
            </w:r>
          </w:p>
        </w:tc>
        <w:tc>
          <w:tcPr>
            <w:tcW w:w="6520" w:type="dxa"/>
            <w:tcBorders>
              <w:right w:val="thickThinSmallGap" w:color="auto" w:sz="18" w:space="0"/>
            </w:tcBorders>
            <w:noWrap/>
            <w:vAlign w:val="center"/>
          </w:tcPr>
          <w:p>
            <w:pPr>
              <w:spacing w:line="460" w:lineRule="exact"/>
              <w:jc w:val="left"/>
              <w:rPr>
                <w:rFonts w:ascii="宋体" w:hAnsi="宋体" w:cs="宋体"/>
                <w:sz w:val="24"/>
                <w:highlight w:val="none"/>
              </w:rPr>
            </w:pPr>
            <w:r>
              <w:rPr>
                <w:rFonts w:hint="eastAsia" w:ascii="宋体" w:hAnsi="宋体" w:cs="宋体"/>
                <w:sz w:val="24"/>
                <w:highlight w:val="none"/>
              </w:rPr>
              <w:t>具体要求详见谈判文件第五章“</w:t>
            </w:r>
            <w:r>
              <w:rPr>
                <w:rFonts w:hint="eastAsia" w:ascii="宋体" w:hAnsi="宋体" w:cs="宋体"/>
                <w:sz w:val="24"/>
                <w:highlight w:val="none"/>
                <w:lang w:eastAsia="zh-CN"/>
              </w:rPr>
              <w:t>服务内容及要求</w:t>
            </w: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09" w:type="dxa"/>
            <w:tcBorders>
              <w:left w:val="thinThick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7</w:t>
            </w:r>
          </w:p>
        </w:tc>
        <w:tc>
          <w:tcPr>
            <w:tcW w:w="1843" w:type="dxa"/>
            <w:noWrap/>
            <w:vAlign w:val="center"/>
          </w:tcPr>
          <w:p>
            <w:pPr>
              <w:pStyle w:val="28"/>
              <w:spacing w:line="300" w:lineRule="exact"/>
              <w:ind w:left="0"/>
              <w:jc w:val="center"/>
              <w:rPr>
                <w:rFonts w:ascii="宋体" w:hAnsi="宋体" w:cs="宋体"/>
                <w:kern w:val="2"/>
                <w:sz w:val="24"/>
                <w:szCs w:val="24"/>
                <w:highlight w:val="none"/>
              </w:rPr>
            </w:pPr>
            <w:r>
              <w:rPr>
                <w:rFonts w:hint="eastAsia" w:ascii="宋体" w:hAnsi="宋体" w:cs="宋体"/>
                <w:kern w:val="2"/>
                <w:sz w:val="24"/>
                <w:szCs w:val="24"/>
                <w:highlight w:val="none"/>
              </w:rPr>
              <w:t>交货期限</w:t>
            </w:r>
          </w:p>
        </w:tc>
        <w:tc>
          <w:tcPr>
            <w:tcW w:w="6520" w:type="dxa"/>
            <w:tcBorders>
              <w:right w:val="thickThinSmallGap" w:color="auto" w:sz="18" w:space="0"/>
            </w:tcBorders>
            <w:noWrap/>
            <w:vAlign w:val="center"/>
          </w:tcPr>
          <w:p>
            <w:pPr>
              <w:spacing w:line="400" w:lineRule="exact"/>
              <w:rPr>
                <w:rFonts w:hint="eastAsia" w:ascii="宋体" w:hAnsi="宋体" w:eastAsia="宋体" w:cs="宋体"/>
                <w:sz w:val="24"/>
                <w:highlight w:val="none"/>
                <w:lang w:eastAsia="zh-CN"/>
              </w:rPr>
            </w:pPr>
            <w:r>
              <w:rPr>
                <w:rFonts w:hint="eastAsia" w:ascii="宋体" w:hAnsi="宋体" w:cs="宋体"/>
                <w:sz w:val="24"/>
                <w:highlight w:val="none"/>
              </w:rPr>
              <w:t>根据采购方要求</w:t>
            </w:r>
            <w:r>
              <w:rPr>
                <w:rFonts w:hint="eastAsia" w:ascii="宋体" w:hAnsi="宋体" w:cs="宋体"/>
                <w:sz w:val="24"/>
                <w:highlight w:val="none"/>
                <w:lang w:eastAsia="zh-CN"/>
              </w:rPr>
              <w:t>进行搬运。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09" w:type="dxa"/>
            <w:tcBorders>
              <w:left w:val="thinThick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8</w:t>
            </w:r>
          </w:p>
        </w:tc>
        <w:tc>
          <w:tcPr>
            <w:tcW w:w="1843" w:type="dxa"/>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供应商资格  要求</w:t>
            </w:r>
          </w:p>
        </w:tc>
        <w:tc>
          <w:tcPr>
            <w:tcW w:w="6520" w:type="dxa"/>
            <w:tcBorders>
              <w:right w:val="thickThinSmallGap" w:color="auto" w:sz="18" w:space="0"/>
            </w:tcBorders>
            <w:noWrap/>
            <w:vAlign w:val="center"/>
          </w:tcPr>
          <w:p>
            <w:pPr>
              <w:spacing w:line="400" w:lineRule="exact"/>
              <w:rPr>
                <w:rFonts w:ascii="宋体" w:hAnsi="宋体" w:cs="宋体"/>
                <w:sz w:val="24"/>
                <w:highlight w:val="none"/>
              </w:rPr>
            </w:pPr>
            <w:r>
              <w:rPr>
                <w:rFonts w:hint="eastAsia" w:ascii="宋体" w:hAnsi="宋体" w:cs="宋体"/>
                <w:sz w:val="24"/>
                <w:highlight w:val="none"/>
              </w:rPr>
              <w:t>1.基本资格条件：供应商需具备《中华人民共和国政府采购法》第二十二条规定的基本资格条件，并提供以下资格证明文件：</w:t>
            </w:r>
          </w:p>
          <w:p>
            <w:pPr>
              <w:spacing w:line="400" w:lineRule="exact"/>
              <w:rPr>
                <w:rFonts w:ascii="宋体" w:hAnsi="宋体" w:cs="宋体"/>
                <w:sz w:val="24"/>
                <w:highlight w:val="none"/>
              </w:rPr>
            </w:pPr>
            <w:r>
              <w:rPr>
                <w:rFonts w:hint="eastAsia" w:ascii="宋体" w:hAnsi="宋体" w:cs="宋体"/>
                <w:sz w:val="24"/>
                <w:highlight w:val="none"/>
              </w:rPr>
              <w:t>（1）法人或者其他组织的营业执照等证明文件，自然人的身份证明；</w:t>
            </w:r>
            <w:r>
              <w:rPr>
                <w:rFonts w:hint="eastAsia" w:ascii="宋体" w:hAnsi="宋体" w:cs="宋体"/>
                <w:sz w:val="24"/>
                <w:highlight w:val="none"/>
              </w:rPr>
              <w:br w:type="textWrapping"/>
            </w:r>
            <w:r>
              <w:rPr>
                <w:rFonts w:hint="eastAsia" w:ascii="宋体" w:hAnsi="宋体" w:cs="宋体"/>
                <w:sz w:val="24"/>
                <w:highlight w:val="none"/>
              </w:rPr>
              <w:t>（</w:t>
            </w:r>
            <w:r>
              <w:rPr>
                <w:rFonts w:hint="eastAsia" w:ascii="宋体" w:hAnsi="宋体" w:cs="宋体"/>
                <w:sz w:val="24"/>
                <w:highlight w:val="none"/>
                <w:lang w:val="en-US" w:eastAsia="zh-CN"/>
              </w:rPr>
              <w:t>2</w:t>
            </w:r>
            <w:r>
              <w:rPr>
                <w:rFonts w:hint="eastAsia" w:ascii="宋体" w:hAnsi="宋体" w:cs="宋体"/>
                <w:sz w:val="24"/>
                <w:highlight w:val="none"/>
              </w:rPr>
              <w:t>）具备履行合同所必需的设备和专业技术能力的证明材料；</w:t>
            </w:r>
            <w:r>
              <w:rPr>
                <w:rFonts w:hint="eastAsia" w:ascii="宋体" w:hAnsi="宋体" w:cs="宋体"/>
                <w:sz w:val="24"/>
                <w:highlight w:val="none"/>
              </w:rPr>
              <w:br w:type="textWrapping"/>
            </w:r>
            <w:r>
              <w:rPr>
                <w:rFonts w:hint="eastAsia" w:ascii="宋体" w:hAnsi="宋体" w:cs="宋体"/>
                <w:sz w:val="24"/>
                <w:highlight w:val="none"/>
              </w:rPr>
              <w:t>（</w:t>
            </w:r>
            <w:r>
              <w:rPr>
                <w:rFonts w:hint="eastAsia" w:ascii="宋体" w:hAnsi="宋体" w:cs="宋体"/>
                <w:sz w:val="24"/>
                <w:highlight w:val="none"/>
                <w:lang w:val="en-US" w:eastAsia="zh-CN"/>
              </w:rPr>
              <w:t>3</w:t>
            </w:r>
            <w:r>
              <w:rPr>
                <w:rFonts w:hint="eastAsia" w:ascii="宋体" w:hAnsi="宋体" w:cs="宋体"/>
                <w:sz w:val="24"/>
                <w:highlight w:val="none"/>
              </w:rPr>
              <w:t>）参加政府采购活动前3年内在经营活动中没有重大违法记录的书面声明；</w:t>
            </w:r>
            <w:r>
              <w:rPr>
                <w:rFonts w:hint="eastAsia" w:ascii="宋体" w:hAnsi="宋体" w:cs="宋体"/>
                <w:sz w:val="24"/>
                <w:highlight w:val="none"/>
              </w:rPr>
              <w:br w:type="textWrapping"/>
            </w:r>
            <w:r>
              <w:rPr>
                <w:rFonts w:hint="eastAsia" w:ascii="宋体" w:hAnsi="宋体" w:cs="宋体"/>
                <w:sz w:val="24"/>
                <w:highlight w:val="none"/>
              </w:rPr>
              <w:t>（</w:t>
            </w:r>
            <w:r>
              <w:rPr>
                <w:rFonts w:hint="eastAsia" w:ascii="宋体" w:hAnsi="宋体" w:cs="宋体"/>
                <w:sz w:val="24"/>
                <w:highlight w:val="none"/>
                <w:lang w:val="en-US" w:eastAsia="zh-CN"/>
              </w:rPr>
              <w:t>4</w:t>
            </w:r>
            <w:r>
              <w:rPr>
                <w:rFonts w:hint="eastAsia" w:ascii="宋体" w:hAnsi="宋体" w:cs="宋体"/>
                <w:sz w:val="24"/>
                <w:highlight w:val="none"/>
              </w:rPr>
              <w:t>）具备法律、行政法规规定的其他条件的证明材料。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9" w:type="dxa"/>
            <w:tcBorders>
              <w:left w:val="thinThickSmallGap" w:color="auto" w:sz="18" w:space="0"/>
              <w:bottom w:val="single" w:color="auto" w:sz="4" w:space="0"/>
            </w:tcBorders>
            <w:noWrap/>
            <w:vAlign w:val="center"/>
          </w:tcPr>
          <w:p>
            <w:pPr>
              <w:pStyle w:val="28"/>
              <w:spacing w:line="300" w:lineRule="exact"/>
              <w:ind w:left="0"/>
              <w:jc w:val="center"/>
              <w:rPr>
                <w:rFonts w:ascii="宋体" w:hAnsi="宋体" w:cs="宋体"/>
                <w:sz w:val="24"/>
                <w:szCs w:val="24"/>
                <w:highlight w:val="none"/>
              </w:rPr>
            </w:pPr>
          </w:p>
        </w:tc>
        <w:tc>
          <w:tcPr>
            <w:tcW w:w="1843" w:type="dxa"/>
            <w:tcBorders>
              <w:bottom w:val="single" w:color="auto" w:sz="4" w:space="0"/>
            </w:tcBorders>
            <w:noWrap/>
            <w:vAlign w:val="center"/>
          </w:tcPr>
          <w:p>
            <w:pPr>
              <w:pStyle w:val="28"/>
              <w:spacing w:line="300" w:lineRule="exact"/>
              <w:ind w:left="0"/>
              <w:jc w:val="center"/>
              <w:rPr>
                <w:rFonts w:ascii="宋体" w:hAnsi="宋体" w:cs="宋体"/>
                <w:sz w:val="24"/>
                <w:szCs w:val="24"/>
                <w:highlight w:val="none"/>
              </w:rPr>
            </w:pPr>
          </w:p>
        </w:tc>
        <w:tc>
          <w:tcPr>
            <w:tcW w:w="6520" w:type="dxa"/>
            <w:tcBorders>
              <w:bottom w:val="single" w:color="auto" w:sz="4" w:space="0"/>
              <w:right w:val="thickThinSmallGap" w:color="auto" w:sz="18" w:space="0"/>
            </w:tcBorders>
            <w:noWrap/>
            <w:vAlign w:val="center"/>
          </w:tcPr>
          <w:p>
            <w:pPr>
              <w:spacing w:line="400" w:lineRule="exact"/>
              <w:rPr>
                <w:rFonts w:ascii="宋体" w:hAnsi="宋体" w:cs="宋体"/>
                <w:sz w:val="24"/>
                <w:highlight w:val="none"/>
              </w:rPr>
            </w:pPr>
            <w:r>
              <w:rPr>
                <w:rFonts w:hint="eastAsia" w:ascii="宋体" w:hAnsi="宋体" w:cs="宋体"/>
                <w:sz w:val="24"/>
                <w:highlight w:val="none"/>
              </w:rPr>
              <w:t>2.特定资格条件：</w:t>
            </w:r>
          </w:p>
          <w:p>
            <w:pPr>
              <w:spacing w:line="400" w:lineRule="exact"/>
              <w:rPr>
                <w:rFonts w:ascii="宋体" w:hAnsi="宋体" w:cs="宋体"/>
                <w:sz w:val="24"/>
                <w:highlight w:val="none"/>
              </w:rPr>
            </w:pPr>
            <w:r>
              <w:rPr>
                <w:rFonts w:hint="eastAsia" w:ascii="宋体" w:hAnsi="宋体" w:cs="宋体"/>
                <w:sz w:val="24"/>
                <w:highlight w:val="none"/>
              </w:rPr>
              <w:t>供应商在投标截止时间前未被列入“信用中国”网站（www.creditchina.gov.cn）失信被执行人、重大税收违法案件当事人名单、政府采购严重违法失信行为记录名单，供应商须提供查询结果网页截图和承诺函。若为失信企业，将取消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709" w:type="dxa"/>
            <w:tcBorders>
              <w:top w:val="single" w:color="auto" w:sz="4" w:space="0"/>
              <w:left w:val="thinThickSmallGap" w:color="auto" w:sz="18" w:space="0"/>
              <w:bottom w:val="thickThin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9</w:t>
            </w:r>
          </w:p>
        </w:tc>
        <w:tc>
          <w:tcPr>
            <w:tcW w:w="1843" w:type="dxa"/>
            <w:tcBorders>
              <w:top w:val="single" w:color="auto" w:sz="4" w:space="0"/>
              <w:bottom w:val="thickThin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联合体投标</w:t>
            </w:r>
          </w:p>
        </w:tc>
        <w:tc>
          <w:tcPr>
            <w:tcW w:w="6520" w:type="dxa"/>
            <w:tcBorders>
              <w:top w:val="single" w:color="auto" w:sz="4" w:space="0"/>
              <w:bottom w:val="thickThinSmallGap" w:color="auto" w:sz="18" w:space="0"/>
              <w:right w:val="thickThinSmallGap" w:color="auto" w:sz="18" w:space="0"/>
            </w:tcBorders>
            <w:noWrap/>
            <w:vAlign w:val="center"/>
          </w:tcPr>
          <w:p>
            <w:pPr>
              <w:pStyle w:val="28"/>
              <w:spacing w:line="300" w:lineRule="exact"/>
              <w:ind w:left="0"/>
              <w:jc w:val="left"/>
              <w:rPr>
                <w:rFonts w:ascii="宋体" w:hAnsi="宋体" w:cs="宋体"/>
                <w:sz w:val="24"/>
                <w:szCs w:val="24"/>
                <w:highlight w:val="none"/>
              </w:rPr>
            </w:pPr>
            <w:r>
              <w:rPr>
                <w:rFonts w:hint="eastAsia" w:ascii="宋体" w:hAnsi="宋体" w:cs="宋体"/>
                <w:sz w:val="24"/>
                <w:szCs w:val="24"/>
                <w:highlight w:val="none"/>
              </w:rPr>
              <w:t xml:space="preserve">不接受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709" w:type="dxa"/>
            <w:tcBorders>
              <w:top w:val="single" w:color="auto" w:sz="4" w:space="0"/>
              <w:left w:val="thinThickSmallGap" w:color="auto" w:sz="18" w:space="0"/>
              <w:bottom w:val="thickThin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10</w:t>
            </w:r>
          </w:p>
        </w:tc>
        <w:tc>
          <w:tcPr>
            <w:tcW w:w="1843" w:type="dxa"/>
            <w:tcBorders>
              <w:top w:val="single" w:color="auto" w:sz="4" w:space="0"/>
              <w:bottom w:val="thickThin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现场踏勘</w:t>
            </w:r>
          </w:p>
        </w:tc>
        <w:tc>
          <w:tcPr>
            <w:tcW w:w="6520" w:type="dxa"/>
            <w:tcBorders>
              <w:top w:val="single" w:color="auto" w:sz="4" w:space="0"/>
              <w:bottom w:val="thickThinSmallGap" w:color="auto" w:sz="18" w:space="0"/>
              <w:right w:val="thickThinSmallGap" w:color="auto" w:sz="18" w:space="0"/>
            </w:tcBorders>
            <w:noWrap/>
            <w:vAlign w:val="center"/>
          </w:tcPr>
          <w:p>
            <w:pPr>
              <w:pStyle w:val="28"/>
              <w:spacing w:line="300" w:lineRule="exact"/>
              <w:ind w:left="0"/>
              <w:jc w:val="left"/>
              <w:rPr>
                <w:rFonts w:ascii="宋体" w:hAnsi="宋体" w:cs="宋体"/>
                <w:sz w:val="24"/>
                <w:szCs w:val="24"/>
                <w:highlight w:val="none"/>
              </w:rPr>
            </w:pPr>
            <w:r>
              <w:rPr>
                <w:rFonts w:hint="eastAsia" w:ascii="宋体" w:hAnsi="宋体" w:cs="宋体"/>
                <w:sz w:val="24"/>
                <w:szCs w:val="24"/>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trPr>
        <w:tc>
          <w:tcPr>
            <w:tcW w:w="709" w:type="dxa"/>
            <w:tcBorders>
              <w:top w:val="single" w:color="auto" w:sz="4" w:space="0"/>
              <w:left w:val="thinThickSmallGap" w:color="auto" w:sz="18" w:space="0"/>
              <w:bottom w:val="thickThinSmallGap" w:color="auto" w:sz="18" w:space="0"/>
            </w:tcBorders>
            <w:noWrap/>
            <w:vAlign w:val="center"/>
          </w:tcPr>
          <w:p>
            <w:pPr>
              <w:pStyle w:val="28"/>
              <w:spacing w:line="300" w:lineRule="exact"/>
              <w:ind w:left="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w:t>
            </w:r>
          </w:p>
        </w:tc>
        <w:tc>
          <w:tcPr>
            <w:tcW w:w="1843" w:type="dxa"/>
            <w:tcBorders>
              <w:top w:val="single" w:color="auto" w:sz="4" w:space="0"/>
              <w:bottom w:val="thickThin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供应商提出问题的截止时间</w:t>
            </w:r>
          </w:p>
        </w:tc>
        <w:tc>
          <w:tcPr>
            <w:tcW w:w="6520" w:type="dxa"/>
            <w:tcBorders>
              <w:top w:val="single" w:color="auto" w:sz="4" w:space="0"/>
              <w:bottom w:val="thickThinSmallGap" w:color="auto" w:sz="18" w:space="0"/>
              <w:right w:val="thickThinSmallGap" w:color="auto" w:sz="18" w:space="0"/>
            </w:tcBorders>
            <w:noWrap/>
            <w:vAlign w:val="center"/>
          </w:tcPr>
          <w:p>
            <w:pPr>
              <w:spacing w:line="400" w:lineRule="exact"/>
              <w:rPr>
                <w:rFonts w:ascii="宋体" w:hAnsi="宋体" w:cs="宋体"/>
                <w:sz w:val="24"/>
                <w:highlight w:val="none"/>
              </w:rPr>
            </w:pPr>
            <w:r>
              <w:rPr>
                <w:rFonts w:hint="eastAsia" w:ascii="宋体" w:hAnsi="宋体" w:cs="宋体"/>
                <w:sz w:val="24"/>
                <w:highlight w:val="none"/>
              </w:rPr>
              <w:t>2</w:t>
            </w:r>
            <w:r>
              <w:rPr>
                <w:rFonts w:ascii="宋体" w:hAnsi="宋体" w:cs="宋体"/>
                <w:sz w:val="24"/>
                <w:highlight w:val="none"/>
              </w:rPr>
              <w:t>02</w:t>
            </w:r>
            <w:r>
              <w:rPr>
                <w:rFonts w:hint="eastAsia" w:ascii="宋体" w:hAnsi="宋体" w:cs="宋体"/>
                <w:sz w:val="24"/>
                <w:highlight w:val="none"/>
              </w:rPr>
              <w:t>1年</w:t>
            </w:r>
            <w:r>
              <w:rPr>
                <w:rFonts w:hint="eastAsia" w:ascii="宋体" w:hAnsi="宋体" w:cs="宋体"/>
                <w:sz w:val="24"/>
                <w:highlight w:val="none"/>
                <w:lang w:val="en-US" w:eastAsia="zh-CN"/>
              </w:rPr>
              <w:t>07</w:t>
            </w:r>
            <w:r>
              <w:rPr>
                <w:rFonts w:hint="eastAsia" w:ascii="宋体" w:hAnsi="宋体" w:cs="宋体"/>
                <w:sz w:val="24"/>
                <w:highlight w:val="none"/>
              </w:rPr>
              <w:t>月</w:t>
            </w:r>
            <w:r>
              <w:rPr>
                <w:rFonts w:hint="eastAsia" w:ascii="宋体" w:hAnsi="宋体" w:cs="宋体"/>
                <w:sz w:val="24"/>
                <w:highlight w:val="none"/>
                <w:lang w:val="en-US" w:eastAsia="zh-CN"/>
              </w:rPr>
              <w:t>21</w:t>
            </w:r>
            <w:r>
              <w:rPr>
                <w:rFonts w:hint="eastAsia" w:ascii="宋体" w:hAnsi="宋体" w:cs="宋体"/>
                <w:sz w:val="24"/>
                <w:highlight w:val="none"/>
              </w:rPr>
              <w:t>日17：00时前，所有获取了谈判文件的潜在供应商以书面的形式向</w:t>
            </w:r>
            <w:r>
              <w:rPr>
                <w:rFonts w:hint="eastAsia" w:ascii="宋体" w:hAnsi="宋体" w:cs="宋体"/>
                <w:sz w:val="24"/>
                <w:highlight w:val="none"/>
                <w:lang w:eastAsia="zh-CN"/>
              </w:rPr>
              <w:t>学校</w:t>
            </w:r>
            <w:r>
              <w:rPr>
                <w:rFonts w:hint="eastAsia" w:ascii="宋体" w:hAnsi="宋体" w:cs="宋体"/>
                <w:sz w:val="24"/>
                <w:highlight w:val="none"/>
              </w:rPr>
              <w:t>中心提问。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 w:hRule="atLeast"/>
        </w:trPr>
        <w:tc>
          <w:tcPr>
            <w:tcW w:w="709" w:type="dxa"/>
            <w:tcBorders>
              <w:top w:val="thinThickSmallGap" w:color="auto" w:sz="18" w:space="0"/>
              <w:left w:val="thinThickSmallGap" w:color="auto" w:sz="18" w:space="0"/>
              <w:bottom w:val="single" w:color="auto" w:sz="4"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14</w:t>
            </w:r>
          </w:p>
        </w:tc>
        <w:tc>
          <w:tcPr>
            <w:tcW w:w="1843" w:type="dxa"/>
            <w:tcBorders>
              <w:top w:val="thinThickSmallGap" w:color="auto" w:sz="18" w:space="0"/>
              <w:bottom w:val="single" w:color="auto" w:sz="4"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谈判文件澄清截止时间</w:t>
            </w:r>
          </w:p>
        </w:tc>
        <w:tc>
          <w:tcPr>
            <w:tcW w:w="6520" w:type="dxa"/>
            <w:tcBorders>
              <w:top w:val="thinThickSmallGap" w:color="auto" w:sz="18" w:space="0"/>
              <w:bottom w:val="single" w:color="auto" w:sz="4" w:space="0"/>
              <w:right w:val="thickThinSmallGap" w:color="auto" w:sz="18" w:space="0"/>
            </w:tcBorders>
            <w:noWrap/>
            <w:vAlign w:val="center"/>
          </w:tcPr>
          <w:p>
            <w:pPr>
              <w:spacing w:line="400" w:lineRule="exact"/>
              <w:rPr>
                <w:rFonts w:ascii="宋体" w:hAnsi="宋体" w:cs="宋体"/>
                <w:sz w:val="24"/>
                <w:highlight w:val="none"/>
              </w:rPr>
            </w:pPr>
            <w:r>
              <w:rPr>
                <w:rFonts w:hint="eastAsia" w:ascii="宋体" w:hAnsi="宋体" w:cs="宋体"/>
                <w:sz w:val="24"/>
                <w:highlight w:val="none"/>
              </w:rPr>
              <w:t>2</w:t>
            </w:r>
            <w:r>
              <w:rPr>
                <w:rFonts w:ascii="宋体" w:hAnsi="宋体" w:cs="宋体"/>
                <w:sz w:val="24"/>
                <w:highlight w:val="none"/>
              </w:rPr>
              <w:t>02</w:t>
            </w:r>
            <w:r>
              <w:rPr>
                <w:rFonts w:hint="eastAsia" w:ascii="宋体" w:hAnsi="宋体" w:cs="宋体"/>
                <w:sz w:val="24"/>
                <w:highlight w:val="none"/>
              </w:rPr>
              <w:t>1年</w:t>
            </w:r>
            <w:r>
              <w:rPr>
                <w:rFonts w:hint="eastAsia" w:ascii="宋体" w:hAnsi="宋体" w:cs="宋体"/>
                <w:sz w:val="24"/>
                <w:highlight w:val="none"/>
                <w:lang w:val="en-US" w:eastAsia="zh-CN"/>
              </w:rPr>
              <w:t>07</w:t>
            </w:r>
            <w:r>
              <w:rPr>
                <w:rFonts w:hint="eastAsia" w:ascii="宋体" w:hAnsi="宋体" w:cs="宋体"/>
                <w:sz w:val="24"/>
                <w:highlight w:val="none"/>
              </w:rPr>
              <w:t>月</w:t>
            </w:r>
            <w:r>
              <w:rPr>
                <w:rFonts w:hint="eastAsia" w:ascii="宋体" w:hAnsi="宋体" w:cs="宋体"/>
                <w:sz w:val="24"/>
                <w:highlight w:val="none"/>
                <w:lang w:val="en-US" w:eastAsia="zh-CN"/>
              </w:rPr>
              <w:t>21</w:t>
            </w:r>
            <w:r>
              <w:rPr>
                <w:rFonts w:hint="eastAsia" w:ascii="宋体" w:hAnsi="宋体" w:cs="宋体"/>
                <w:sz w:val="24"/>
                <w:highlight w:val="none"/>
              </w:rPr>
              <w:t>日18：00时前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9" w:type="dxa"/>
            <w:tcBorders>
              <w:top w:val="single" w:color="auto" w:sz="4" w:space="0"/>
              <w:left w:val="thinThickSmallGap" w:color="auto" w:sz="18" w:space="0"/>
              <w:bottom w:val="single" w:color="auto" w:sz="4"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15</w:t>
            </w:r>
          </w:p>
        </w:tc>
        <w:tc>
          <w:tcPr>
            <w:tcW w:w="1843" w:type="dxa"/>
            <w:tcBorders>
              <w:top w:val="single" w:color="auto" w:sz="4" w:space="0"/>
              <w:bottom w:val="single" w:color="auto" w:sz="4"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构成谈判文件的其他资料</w:t>
            </w:r>
          </w:p>
        </w:tc>
        <w:tc>
          <w:tcPr>
            <w:tcW w:w="6520" w:type="dxa"/>
            <w:tcBorders>
              <w:top w:val="single" w:color="auto" w:sz="4" w:space="0"/>
              <w:bottom w:val="single" w:color="auto" w:sz="4" w:space="0"/>
              <w:right w:val="thickThinSmallGap" w:color="auto" w:sz="18" w:space="0"/>
            </w:tcBorders>
            <w:noWrap/>
            <w:vAlign w:val="center"/>
          </w:tcPr>
          <w:p>
            <w:pPr>
              <w:spacing w:line="400" w:lineRule="exact"/>
              <w:rPr>
                <w:rFonts w:ascii="宋体" w:hAnsi="宋体" w:cs="宋体"/>
                <w:sz w:val="24"/>
                <w:highlight w:val="none"/>
              </w:rPr>
            </w:pPr>
            <w:r>
              <w:rPr>
                <w:rFonts w:hint="eastAsia" w:ascii="宋体" w:hAnsi="宋体" w:cs="宋体"/>
                <w:sz w:val="24"/>
                <w:highlight w:val="none"/>
              </w:rPr>
              <w:t>谈判文件的澄清或修改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709" w:type="dxa"/>
            <w:tcBorders>
              <w:top w:val="single" w:color="auto" w:sz="4" w:space="0"/>
              <w:left w:val="thinThickSmallGap" w:color="auto" w:sz="18" w:space="0"/>
              <w:bottom w:val="single" w:color="auto" w:sz="4"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16</w:t>
            </w:r>
          </w:p>
        </w:tc>
        <w:tc>
          <w:tcPr>
            <w:tcW w:w="1843" w:type="dxa"/>
            <w:tcBorders>
              <w:top w:val="single" w:color="auto" w:sz="4" w:space="0"/>
              <w:bottom w:val="single" w:color="auto" w:sz="4"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投标有效期</w:t>
            </w:r>
          </w:p>
        </w:tc>
        <w:tc>
          <w:tcPr>
            <w:tcW w:w="6520" w:type="dxa"/>
            <w:tcBorders>
              <w:top w:val="single" w:color="auto" w:sz="4" w:space="0"/>
              <w:bottom w:val="single" w:color="auto" w:sz="4" w:space="0"/>
              <w:right w:val="thickThinSmallGap" w:color="auto" w:sz="18" w:space="0"/>
            </w:tcBorders>
            <w:noWrap/>
            <w:vAlign w:val="center"/>
          </w:tcPr>
          <w:p>
            <w:pPr>
              <w:spacing w:line="400" w:lineRule="exact"/>
              <w:rPr>
                <w:rFonts w:ascii="宋体" w:hAnsi="宋体" w:cs="宋体"/>
                <w:sz w:val="24"/>
                <w:highlight w:val="none"/>
              </w:rPr>
            </w:pPr>
            <w:r>
              <w:rPr>
                <w:rFonts w:hint="eastAsia" w:ascii="宋体" w:hAnsi="宋体" w:cs="宋体"/>
                <w:sz w:val="24"/>
                <w:highlight w:val="none"/>
              </w:rPr>
              <w:t>60日历天（从提交首次响应文件截止时间之日起计算）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709" w:type="dxa"/>
            <w:tcBorders>
              <w:left w:val="thinThick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17</w:t>
            </w:r>
          </w:p>
        </w:tc>
        <w:tc>
          <w:tcPr>
            <w:tcW w:w="1843" w:type="dxa"/>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谈判保证金</w:t>
            </w:r>
          </w:p>
        </w:tc>
        <w:tc>
          <w:tcPr>
            <w:tcW w:w="6520" w:type="dxa"/>
            <w:tcBorders>
              <w:right w:val="thickThinSmallGap" w:color="auto" w:sz="18" w:space="0"/>
            </w:tcBorders>
            <w:noWrap/>
            <w:vAlign w:val="center"/>
          </w:tcPr>
          <w:p>
            <w:pPr>
              <w:spacing w:line="400" w:lineRule="exact"/>
              <w:rPr>
                <w:rFonts w:ascii="宋体" w:hAnsi="宋体" w:cs="宋体"/>
                <w:sz w:val="24"/>
                <w:highlight w:val="none"/>
              </w:rPr>
            </w:pPr>
            <w:r>
              <w:rPr>
                <w:rFonts w:hint="eastAsia" w:ascii="宋体" w:hAnsi="宋体" w:cs="宋体"/>
                <w:sz w:val="24"/>
                <w:highlight w:val="none"/>
              </w:rPr>
              <w:t>详见谈判公告第七条“其他补充事宜”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709" w:type="dxa"/>
            <w:tcBorders>
              <w:left w:val="thinThickSmallGap" w:color="auto" w:sz="18" w:space="0"/>
              <w:bottom w:val="single" w:color="auto" w:sz="4"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18</w:t>
            </w:r>
          </w:p>
        </w:tc>
        <w:tc>
          <w:tcPr>
            <w:tcW w:w="1843" w:type="dxa"/>
            <w:tcBorders>
              <w:bottom w:val="single" w:color="auto" w:sz="4"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签字和盖章要求</w:t>
            </w:r>
          </w:p>
        </w:tc>
        <w:tc>
          <w:tcPr>
            <w:tcW w:w="6520" w:type="dxa"/>
            <w:tcBorders>
              <w:bottom w:val="single" w:color="auto" w:sz="4" w:space="0"/>
              <w:right w:val="thickThinSmallGap" w:color="auto" w:sz="18" w:space="0"/>
            </w:tcBorders>
            <w:noWrap/>
            <w:vAlign w:val="center"/>
          </w:tcPr>
          <w:p>
            <w:pPr>
              <w:spacing w:line="400" w:lineRule="exact"/>
              <w:rPr>
                <w:rFonts w:ascii="宋体" w:hAnsi="宋体" w:cs="宋体"/>
                <w:sz w:val="24"/>
                <w:highlight w:val="none"/>
              </w:rPr>
            </w:pPr>
            <w:r>
              <w:rPr>
                <w:rFonts w:hint="eastAsia" w:ascii="宋体" w:hAnsi="宋体" w:cs="宋体"/>
                <w:sz w:val="24"/>
                <w:highlight w:val="none"/>
              </w:rPr>
              <w:t>按照谈判文件格式在需要盖单位章或签字的地方进行签章和签名。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709" w:type="dxa"/>
            <w:tcBorders>
              <w:top w:val="single" w:color="auto" w:sz="4" w:space="0"/>
              <w:left w:val="thinThick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19</w:t>
            </w:r>
          </w:p>
        </w:tc>
        <w:tc>
          <w:tcPr>
            <w:tcW w:w="1843" w:type="dxa"/>
            <w:tcBorders>
              <w:top w:val="single" w:color="auto" w:sz="4" w:space="0"/>
            </w:tcBorders>
            <w:noWrap/>
            <w:vAlign w:val="center"/>
          </w:tcPr>
          <w:p>
            <w:pPr>
              <w:pStyle w:val="28"/>
              <w:spacing w:line="300" w:lineRule="exact"/>
              <w:ind w:left="0" w:leftChars="0"/>
              <w:jc w:val="center"/>
              <w:rPr>
                <w:rFonts w:ascii="宋体" w:hAnsi="宋体" w:cs="宋体"/>
                <w:sz w:val="24"/>
                <w:szCs w:val="24"/>
                <w:highlight w:val="none"/>
              </w:rPr>
            </w:pPr>
            <w:r>
              <w:rPr>
                <w:rFonts w:hint="eastAsia" w:ascii="宋体" w:hAnsi="宋体" w:cs="宋体"/>
                <w:sz w:val="24"/>
                <w:szCs w:val="24"/>
                <w:highlight w:val="none"/>
              </w:rPr>
              <w:t>响应文件</w:t>
            </w:r>
            <w:r>
              <w:rPr>
                <w:rFonts w:hint="eastAsia" w:ascii="宋体" w:hAnsi="宋体" w:cs="宋体"/>
                <w:sz w:val="24"/>
                <w:szCs w:val="24"/>
                <w:highlight w:val="none"/>
                <w:lang w:eastAsia="zh-CN"/>
              </w:rPr>
              <w:t>份数</w:t>
            </w:r>
          </w:p>
        </w:tc>
        <w:tc>
          <w:tcPr>
            <w:tcW w:w="6520" w:type="dxa"/>
            <w:tcBorders>
              <w:top w:val="single" w:color="auto" w:sz="4" w:space="0"/>
              <w:right w:val="thickThinSmallGap" w:color="auto" w:sz="18" w:space="0"/>
            </w:tcBorders>
            <w:noWrap/>
            <w:vAlign w:val="center"/>
          </w:tcPr>
          <w:p>
            <w:pPr>
              <w:spacing w:line="400" w:lineRule="exact"/>
              <w:rPr>
                <w:rFonts w:ascii="宋体" w:hAnsi="宋体" w:cs="宋体"/>
                <w:sz w:val="24"/>
                <w:highlight w:val="none"/>
              </w:rPr>
            </w:pPr>
            <w:r>
              <w:rPr>
                <w:rFonts w:hint="eastAsia" w:ascii="宋体" w:hAnsi="宋体"/>
                <w:sz w:val="24"/>
                <w:szCs w:val="24"/>
                <w:highlight w:val="none"/>
              </w:rPr>
              <w:t>纸质</w:t>
            </w:r>
            <w:r>
              <w:rPr>
                <w:rFonts w:hint="eastAsia" w:ascii="宋体" w:hAnsi="宋体"/>
                <w:sz w:val="24"/>
                <w:szCs w:val="24"/>
                <w:highlight w:val="none"/>
                <w:lang w:eastAsia="zh-CN"/>
              </w:rPr>
              <w:t>响应</w:t>
            </w:r>
            <w:r>
              <w:rPr>
                <w:rFonts w:hint="eastAsia" w:ascii="宋体" w:hAnsi="宋体"/>
                <w:sz w:val="24"/>
                <w:szCs w:val="24"/>
                <w:highlight w:val="none"/>
              </w:rPr>
              <w:t>文件一正一副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 w:hRule="atLeast"/>
        </w:trPr>
        <w:tc>
          <w:tcPr>
            <w:tcW w:w="709" w:type="dxa"/>
            <w:tcBorders>
              <w:top w:val="dotted" w:color="auto" w:sz="4" w:space="0"/>
              <w:left w:val="thinThick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20</w:t>
            </w:r>
          </w:p>
        </w:tc>
        <w:tc>
          <w:tcPr>
            <w:tcW w:w="1843" w:type="dxa"/>
            <w:tcBorders>
              <w:top w:val="dotted" w:color="auto" w:sz="4"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提交响应文件</w:t>
            </w:r>
          </w:p>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lang w:eastAsia="zh-CN"/>
              </w:rPr>
              <w:t>递交及</w:t>
            </w:r>
            <w:r>
              <w:rPr>
                <w:rFonts w:hint="eastAsia" w:ascii="宋体" w:hAnsi="宋体" w:cs="宋体"/>
                <w:sz w:val="24"/>
                <w:szCs w:val="24"/>
                <w:highlight w:val="none"/>
              </w:rPr>
              <w:t>截止时间</w:t>
            </w:r>
          </w:p>
        </w:tc>
        <w:tc>
          <w:tcPr>
            <w:tcW w:w="6520" w:type="dxa"/>
            <w:tcBorders>
              <w:top w:val="dotted" w:color="auto" w:sz="4" w:space="0"/>
              <w:right w:val="thickThinSmallGap" w:color="auto" w:sz="18" w:space="0"/>
            </w:tcBorders>
            <w:noWrap/>
            <w:vAlign w:val="center"/>
          </w:tcPr>
          <w:p>
            <w:pPr>
              <w:spacing w:line="400" w:lineRule="exact"/>
              <w:rPr>
                <w:rFonts w:hint="eastAsia" w:ascii="宋体" w:hAnsi="宋体" w:cs="宋体"/>
                <w:sz w:val="24"/>
                <w:highlight w:val="none"/>
              </w:rPr>
            </w:pPr>
            <w:r>
              <w:rPr>
                <w:rFonts w:hint="eastAsia" w:ascii="宋体" w:hAnsi="宋体" w:cs="宋体"/>
                <w:sz w:val="24"/>
                <w:highlight w:val="none"/>
              </w:rPr>
              <w:t>响应文件递交时间：202</w:t>
            </w:r>
            <w:r>
              <w:rPr>
                <w:rFonts w:hint="eastAsia" w:ascii="宋体" w:hAnsi="宋体" w:cs="宋体"/>
                <w:sz w:val="24"/>
                <w:highlight w:val="none"/>
                <w:lang w:val="en-US" w:eastAsia="zh-CN"/>
              </w:rPr>
              <w:t>1</w:t>
            </w:r>
            <w:r>
              <w:rPr>
                <w:rFonts w:hint="eastAsia" w:ascii="宋体" w:hAnsi="宋体" w:cs="宋体"/>
                <w:sz w:val="24"/>
                <w:highlight w:val="none"/>
              </w:rPr>
              <w:t>年</w:t>
            </w:r>
            <w:r>
              <w:rPr>
                <w:rFonts w:hint="eastAsia" w:ascii="宋体" w:hAnsi="宋体" w:cs="宋体"/>
                <w:sz w:val="24"/>
                <w:highlight w:val="none"/>
                <w:lang w:val="en-US" w:eastAsia="zh-CN"/>
              </w:rPr>
              <w:t>7</w:t>
            </w:r>
            <w:r>
              <w:rPr>
                <w:rFonts w:hint="eastAsia" w:ascii="宋体" w:hAnsi="宋体" w:cs="宋体"/>
                <w:sz w:val="24"/>
                <w:highlight w:val="none"/>
              </w:rPr>
              <w:t>月</w:t>
            </w:r>
            <w:r>
              <w:rPr>
                <w:rFonts w:hint="eastAsia" w:ascii="宋体" w:hAnsi="宋体" w:cs="宋体"/>
                <w:sz w:val="24"/>
                <w:highlight w:val="none"/>
                <w:lang w:val="en-US" w:eastAsia="zh-CN"/>
              </w:rPr>
              <w:t>22</w:t>
            </w:r>
            <w:r>
              <w:rPr>
                <w:rFonts w:hint="eastAsia" w:ascii="宋体" w:hAnsi="宋体" w:cs="宋体"/>
                <w:sz w:val="24"/>
                <w:highlight w:val="none"/>
              </w:rPr>
              <w:t>日</w:t>
            </w:r>
            <w:r>
              <w:rPr>
                <w:rFonts w:hint="eastAsia" w:ascii="宋体" w:hAnsi="宋体" w:cs="宋体"/>
                <w:sz w:val="24"/>
                <w:highlight w:val="none"/>
                <w:lang w:val="en-US" w:eastAsia="zh-CN"/>
              </w:rPr>
              <w:t>10</w:t>
            </w:r>
            <w:r>
              <w:rPr>
                <w:rFonts w:hint="eastAsia" w:ascii="宋体" w:hAnsi="宋体" w:cs="宋体"/>
                <w:sz w:val="24"/>
                <w:highlight w:val="none"/>
              </w:rPr>
              <w:t>:00时至</w:t>
            </w:r>
            <w:r>
              <w:rPr>
                <w:rFonts w:hint="eastAsia" w:ascii="宋体" w:hAnsi="宋体" w:cs="宋体"/>
                <w:sz w:val="24"/>
                <w:highlight w:val="none"/>
                <w:lang w:val="en-US" w:eastAsia="zh-CN"/>
              </w:rPr>
              <w:t>10</w:t>
            </w:r>
            <w:r>
              <w:rPr>
                <w:rFonts w:hint="eastAsia" w:ascii="宋体" w:hAnsi="宋体" w:cs="宋体"/>
                <w:sz w:val="24"/>
                <w:highlight w:val="none"/>
              </w:rPr>
              <w:t>:30时(北京时间)</w:t>
            </w:r>
          </w:p>
          <w:p>
            <w:pPr>
              <w:spacing w:line="400" w:lineRule="exact"/>
              <w:rPr>
                <w:rFonts w:ascii="宋体" w:hAnsi="宋体" w:cs="宋体"/>
                <w:sz w:val="24"/>
                <w:highlight w:val="none"/>
              </w:rPr>
            </w:pPr>
            <w:r>
              <w:rPr>
                <w:rFonts w:hint="eastAsia" w:ascii="宋体" w:hAnsi="宋体" w:cs="宋体"/>
                <w:sz w:val="24"/>
                <w:highlight w:val="none"/>
              </w:rPr>
              <w:t>响应文件</w:t>
            </w:r>
            <w:r>
              <w:rPr>
                <w:rFonts w:hint="eastAsia" w:ascii="宋体" w:hAnsi="宋体" w:cs="宋体"/>
                <w:sz w:val="24"/>
                <w:szCs w:val="24"/>
                <w:highlight w:val="none"/>
              </w:rPr>
              <w:t>截止时间</w:t>
            </w:r>
            <w:r>
              <w:rPr>
                <w:rFonts w:hint="eastAsia" w:ascii="宋体" w:hAnsi="宋体" w:cs="宋体"/>
                <w:sz w:val="24"/>
                <w:highlight w:val="none"/>
              </w:rPr>
              <w:t>：2</w:t>
            </w:r>
            <w:r>
              <w:rPr>
                <w:rFonts w:ascii="宋体" w:hAnsi="宋体" w:cs="宋体"/>
                <w:sz w:val="24"/>
                <w:highlight w:val="none"/>
              </w:rPr>
              <w:t>02</w:t>
            </w:r>
            <w:r>
              <w:rPr>
                <w:rFonts w:hint="eastAsia" w:ascii="宋体" w:hAnsi="宋体" w:cs="宋体"/>
                <w:sz w:val="24"/>
                <w:highlight w:val="none"/>
              </w:rPr>
              <w:t>1年</w:t>
            </w:r>
            <w:r>
              <w:rPr>
                <w:rFonts w:hint="eastAsia" w:ascii="宋体" w:hAnsi="宋体" w:cs="宋体"/>
                <w:sz w:val="24"/>
                <w:highlight w:val="none"/>
                <w:lang w:val="en-US" w:eastAsia="zh-CN"/>
              </w:rPr>
              <w:t>7</w:t>
            </w:r>
            <w:r>
              <w:rPr>
                <w:rFonts w:hint="eastAsia" w:ascii="宋体" w:hAnsi="宋体" w:cs="宋体"/>
                <w:sz w:val="24"/>
                <w:highlight w:val="none"/>
              </w:rPr>
              <w:t>月</w:t>
            </w:r>
            <w:r>
              <w:rPr>
                <w:rFonts w:hint="eastAsia" w:ascii="宋体" w:hAnsi="宋体" w:cs="宋体"/>
                <w:sz w:val="24"/>
                <w:highlight w:val="none"/>
                <w:lang w:val="en-US" w:eastAsia="zh-CN"/>
              </w:rPr>
              <w:t>22</w:t>
            </w:r>
            <w:r>
              <w:rPr>
                <w:rFonts w:hint="eastAsia" w:ascii="宋体" w:hAnsi="宋体" w:cs="宋体"/>
                <w:sz w:val="24"/>
                <w:highlight w:val="none"/>
              </w:rPr>
              <w:t>日</w:t>
            </w:r>
            <w:r>
              <w:rPr>
                <w:rFonts w:hint="eastAsia" w:ascii="宋体" w:hAnsi="宋体" w:cs="宋体"/>
                <w:sz w:val="24"/>
                <w:highlight w:val="none"/>
                <w:lang w:val="en-US" w:eastAsia="zh-CN"/>
              </w:rPr>
              <w:t>10</w:t>
            </w:r>
            <w:r>
              <w:rPr>
                <w:rFonts w:hint="eastAsia" w:ascii="宋体" w:hAnsi="宋体" w:cs="宋体"/>
                <w:sz w:val="24"/>
                <w:highlight w:val="none"/>
              </w:rPr>
              <w:t>时30分（北京时间）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709" w:type="dxa"/>
            <w:tcBorders>
              <w:left w:val="thinThick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21</w:t>
            </w:r>
          </w:p>
        </w:tc>
        <w:tc>
          <w:tcPr>
            <w:tcW w:w="1843" w:type="dxa"/>
            <w:noWrap/>
            <w:vAlign w:val="center"/>
          </w:tcPr>
          <w:p>
            <w:pPr>
              <w:pStyle w:val="28"/>
              <w:spacing w:line="300" w:lineRule="exact"/>
              <w:ind w:left="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响应文件开启地点</w:t>
            </w:r>
          </w:p>
        </w:tc>
        <w:tc>
          <w:tcPr>
            <w:tcW w:w="6520" w:type="dxa"/>
            <w:tcBorders>
              <w:right w:val="thickThinSmallGap" w:color="auto" w:sz="18" w:space="0"/>
            </w:tcBorders>
            <w:noWrap/>
            <w:vAlign w:val="center"/>
          </w:tcPr>
          <w:p>
            <w:pPr>
              <w:spacing w:line="46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楚雄医药高等专科学校远志楼8楼保卫处会议室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709" w:type="dxa"/>
            <w:tcBorders>
              <w:left w:val="thinThick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22</w:t>
            </w:r>
          </w:p>
        </w:tc>
        <w:tc>
          <w:tcPr>
            <w:tcW w:w="1843" w:type="dxa"/>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谈判小组</w:t>
            </w:r>
          </w:p>
        </w:tc>
        <w:tc>
          <w:tcPr>
            <w:tcW w:w="6520" w:type="dxa"/>
            <w:tcBorders>
              <w:right w:val="thickThinSmallGap" w:color="auto" w:sz="18" w:space="0"/>
            </w:tcBorders>
            <w:noWrap/>
            <w:vAlign w:val="center"/>
          </w:tcPr>
          <w:p>
            <w:pPr>
              <w:spacing w:line="400" w:lineRule="exact"/>
              <w:rPr>
                <w:rFonts w:hint="eastAsia" w:ascii="宋体" w:hAnsi="宋体" w:eastAsia="宋体" w:cs="宋体"/>
                <w:sz w:val="24"/>
                <w:highlight w:val="none"/>
                <w:lang w:eastAsia="zh-CN"/>
              </w:rPr>
            </w:pPr>
            <w:r>
              <w:rPr>
                <w:rFonts w:hint="eastAsia" w:ascii="宋体" w:hAnsi="宋体" w:cs="宋体"/>
                <w:sz w:val="24"/>
                <w:highlight w:val="none"/>
              </w:rPr>
              <w:t>谈判小组的构成：3人及以上单数</w:t>
            </w:r>
            <w:r>
              <w:rPr>
                <w:rFonts w:hint="eastAsia" w:ascii="宋体" w:hAnsi="宋体" w:cs="宋体"/>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709" w:type="dxa"/>
            <w:tcBorders>
              <w:left w:val="thinThick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24</w:t>
            </w:r>
          </w:p>
        </w:tc>
        <w:tc>
          <w:tcPr>
            <w:tcW w:w="1843" w:type="dxa"/>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评审方法</w:t>
            </w:r>
          </w:p>
        </w:tc>
        <w:tc>
          <w:tcPr>
            <w:tcW w:w="6520" w:type="dxa"/>
            <w:tcBorders>
              <w:right w:val="thickThinSmallGap" w:color="auto" w:sz="18" w:space="0"/>
            </w:tcBorders>
            <w:noWrap/>
            <w:vAlign w:val="center"/>
          </w:tcPr>
          <w:p>
            <w:pPr>
              <w:spacing w:line="400" w:lineRule="exact"/>
              <w:rPr>
                <w:rFonts w:ascii="宋体" w:hAnsi="宋体" w:cs="宋体"/>
                <w:sz w:val="24"/>
                <w:highlight w:val="none"/>
              </w:rPr>
            </w:pPr>
            <w:r>
              <w:rPr>
                <w:rFonts w:hint="eastAsia" w:ascii="宋体" w:hAnsi="宋体" w:cs="宋体"/>
                <w:sz w:val="24"/>
                <w:highlight w:val="none"/>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709" w:type="dxa"/>
            <w:tcBorders>
              <w:left w:val="thinThickSmallGap" w:color="auto" w:sz="18" w:space="0"/>
            </w:tcBorders>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25</w:t>
            </w:r>
          </w:p>
        </w:tc>
        <w:tc>
          <w:tcPr>
            <w:tcW w:w="1843" w:type="dxa"/>
            <w:noWrap/>
            <w:vAlign w:val="center"/>
          </w:tcPr>
          <w:p>
            <w:pPr>
              <w:pStyle w:val="28"/>
              <w:spacing w:line="300" w:lineRule="exact"/>
              <w:ind w:left="0"/>
              <w:jc w:val="center"/>
              <w:rPr>
                <w:rFonts w:ascii="宋体" w:hAnsi="宋体" w:cs="宋体"/>
                <w:sz w:val="24"/>
                <w:szCs w:val="24"/>
                <w:highlight w:val="none"/>
              </w:rPr>
            </w:pPr>
            <w:r>
              <w:rPr>
                <w:rFonts w:hint="eastAsia" w:ascii="宋体" w:hAnsi="宋体" w:cs="宋体"/>
                <w:sz w:val="24"/>
                <w:szCs w:val="24"/>
                <w:highlight w:val="none"/>
              </w:rPr>
              <w:t>推荐的成交候选人数量</w:t>
            </w:r>
          </w:p>
        </w:tc>
        <w:tc>
          <w:tcPr>
            <w:tcW w:w="6520" w:type="dxa"/>
            <w:tcBorders>
              <w:right w:val="thickThinSmallGap" w:color="auto" w:sz="18" w:space="0"/>
            </w:tcBorders>
            <w:noWrap/>
            <w:vAlign w:val="center"/>
          </w:tcPr>
          <w:p>
            <w:pPr>
              <w:pStyle w:val="28"/>
              <w:spacing w:line="300" w:lineRule="exact"/>
              <w:ind w:left="0"/>
              <w:rPr>
                <w:rFonts w:ascii="宋体" w:hAnsi="宋体" w:cs="宋体"/>
                <w:sz w:val="24"/>
                <w:szCs w:val="24"/>
                <w:highlight w:val="none"/>
              </w:rPr>
            </w:pPr>
            <w:r>
              <w:rPr>
                <w:rFonts w:hint="eastAsia" w:ascii="宋体" w:hAnsi="宋体" w:cs="宋体"/>
                <w:sz w:val="24"/>
                <w:szCs w:val="24"/>
                <w:highlight w:val="none"/>
              </w:rPr>
              <w:t>1名</w:t>
            </w:r>
          </w:p>
        </w:tc>
      </w:tr>
      <w:bookmarkEnd w:id="49"/>
    </w:tbl>
    <w:p>
      <w:pPr>
        <w:pStyle w:val="4"/>
        <w:spacing w:before="0" w:line="240" w:lineRule="atLeast"/>
        <w:ind w:left="0" w:firstLine="482" w:firstLineChars="200"/>
        <w:rPr>
          <w:rFonts w:ascii="黑体"/>
          <w:szCs w:val="28"/>
          <w:highlight w:val="none"/>
        </w:rPr>
      </w:pPr>
      <w:bookmarkStart w:id="50" w:name="_Toc24244_WPSOffice_Level1"/>
      <w:bookmarkStart w:id="51" w:name="_Toc60996677"/>
      <w:bookmarkStart w:id="52" w:name="_Toc25948_WPSOffice_Level2"/>
      <w:bookmarkStart w:id="53" w:name="_Toc9300_WPSOffice_Level1"/>
      <w:bookmarkStart w:id="54" w:name="_Toc18463"/>
      <w:bookmarkStart w:id="55" w:name="__x000F_一、总__则"/>
      <w:r>
        <w:rPr>
          <w:rFonts w:hint="eastAsia" w:ascii="宋体" w:hAnsi="宋体" w:eastAsia="宋体"/>
          <w:sz w:val="24"/>
          <w:szCs w:val="24"/>
          <w:highlight w:val="none"/>
        </w:rPr>
        <w:t>一、总则</w:t>
      </w:r>
      <w:bookmarkEnd w:id="50"/>
      <w:bookmarkEnd w:id="51"/>
      <w:bookmarkEnd w:id="52"/>
      <w:bookmarkEnd w:id="53"/>
      <w:bookmarkEnd w:id="54"/>
    </w:p>
    <w:bookmarkEnd w:id="55"/>
    <w:p>
      <w:pPr>
        <w:spacing w:line="460" w:lineRule="exact"/>
        <w:ind w:firstLine="480" w:firstLineChars="200"/>
        <w:rPr>
          <w:rFonts w:ascii="宋体" w:hAnsi="宋体"/>
          <w:sz w:val="24"/>
          <w:highlight w:val="none"/>
        </w:rPr>
      </w:pPr>
      <w:bookmarkStart w:id="56" w:name="_Toc28341"/>
      <w:r>
        <w:rPr>
          <w:rFonts w:hint="eastAsia" w:ascii="宋体" w:hAnsi="宋体"/>
          <w:sz w:val="24"/>
          <w:highlight w:val="none"/>
        </w:rPr>
        <w:t>1.项目概况</w:t>
      </w:r>
      <w:bookmarkEnd w:id="56"/>
    </w:p>
    <w:p>
      <w:pPr>
        <w:spacing w:line="460" w:lineRule="exact"/>
        <w:ind w:firstLine="480" w:firstLineChars="200"/>
        <w:rPr>
          <w:rFonts w:ascii="宋体" w:hAnsi="宋体"/>
          <w:sz w:val="24"/>
          <w:highlight w:val="none"/>
        </w:rPr>
      </w:pPr>
      <w:r>
        <w:rPr>
          <w:rFonts w:hint="eastAsia" w:ascii="宋体" w:hAnsi="宋体"/>
          <w:sz w:val="24"/>
          <w:highlight w:val="none"/>
        </w:rPr>
        <w:t>根据《中华人民共和国政府采购法》《政府采购货物和服务招标投标管理办法》（财政部令第</w:t>
      </w:r>
      <w:r>
        <w:rPr>
          <w:rFonts w:ascii="宋体" w:hAnsi="宋体"/>
          <w:sz w:val="24"/>
          <w:highlight w:val="none"/>
        </w:rPr>
        <w:t>87</w:t>
      </w:r>
      <w:r>
        <w:rPr>
          <w:rFonts w:hint="eastAsia" w:ascii="宋体" w:hAnsi="宋体"/>
          <w:sz w:val="24"/>
          <w:highlight w:val="none"/>
        </w:rPr>
        <w:t>号）等有关法律、法规和规章的规定，本招标项目已具备招标条件，现对本次货物采购进行招标。</w:t>
      </w:r>
    </w:p>
    <w:p>
      <w:pPr>
        <w:spacing w:line="460" w:lineRule="exact"/>
        <w:ind w:firstLine="480" w:firstLineChars="200"/>
        <w:rPr>
          <w:rFonts w:ascii="宋体" w:hAnsi="宋体"/>
          <w:sz w:val="24"/>
          <w:highlight w:val="none"/>
        </w:rPr>
      </w:pPr>
      <w:r>
        <w:rPr>
          <w:rFonts w:hint="eastAsia" w:ascii="宋体" w:hAnsi="宋体"/>
          <w:sz w:val="24"/>
          <w:highlight w:val="none"/>
        </w:rPr>
        <w:t>2.本项目采购人、采购代理机构、项目名称、项目编号、项目预算及最高限价：见“供应商须知前附表”。</w:t>
      </w:r>
    </w:p>
    <w:p>
      <w:pPr>
        <w:spacing w:line="460" w:lineRule="exact"/>
        <w:ind w:firstLine="480" w:firstLineChars="200"/>
        <w:rPr>
          <w:rFonts w:ascii="宋体" w:hAnsi="宋体"/>
          <w:sz w:val="24"/>
          <w:highlight w:val="none"/>
        </w:rPr>
      </w:pPr>
      <w:bookmarkStart w:id="57" w:name="_Toc10402"/>
      <w:bookmarkStart w:id="58" w:name="_Toc468805854"/>
      <w:r>
        <w:rPr>
          <w:rFonts w:hint="eastAsia" w:ascii="宋体" w:hAnsi="宋体"/>
          <w:sz w:val="24"/>
          <w:highlight w:val="none"/>
        </w:rPr>
        <w:t>3.采购内容及交货期</w:t>
      </w:r>
      <w:bookmarkEnd w:id="57"/>
    </w:p>
    <w:p>
      <w:pPr>
        <w:spacing w:line="460" w:lineRule="exact"/>
        <w:ind w:firstLine="480" w:firstLineChars="200"/>
        <w:rPr>
          <w:rFonts w:ascii="宋体" w:hAnsi="宋体"/>
          <w:sz w:val="24"/>
          <w:highlight w:val="none"/>
        </w:rPr>
      </w:pPr>
      <w:bookmarkStart w:id="59" w:name="_Toc14054_WPSOffice_Level3"/>
      <w:bookmarkStart w:id="60" w:name="_Toc29818_WPSOffice_Level2"/>
      <w:bookmarkStart w:id="61" w:name="_Toc17687_WPSOffice_Level2"/>
      <w:r>
        <w:rPr>
          <w:rFonts w:ascii="宋体" w:hAnsi="宋体"/>
          <w:sz w:val="24"/>
          <w:highlight w:val="none"/>
        </w:rPr>
        <w:t xml:space="preserve">3.1 </w:t>
      </w:r>
      <w:r>
        <w:rPr>
          <w:rFonts w:hint="eastAsia" w:ascii="宋体" w:hAnsi="宋体"/>
          <w:sz w:val="24"/>
          <w:highlight w:val="none"/>
        </w:rPr>
        <w:t>本项目采购内容：见“供应商须知前附表”。</w:t>
      </w:r>
      <w:bookmarkEnd w:id="59"/>
      <w:bookmarkEnd w:id="60"/>
      <w:bookmarkEnd w:id="61"/>
    </w:p>
    <w:p>
      <w:pPr>
        <w:spacing w:line="460" w:lineRule="exact"/>
        <w:ind w:firstLine="480" w:firstLineChars="200"/>
        <w:rPr>
          <w:rFonts w:ascii="宋体" w:hAnsi="宋体"/>
          <w:sz w:val="24"/>
          <w:highlight w:val="none"/>
        </w:rPr>
      </w:pPr>
      <w:bookmarkStart w:id="62" w:name="_Toc22352_WPSOffice_Level2"/>
      <w:bookmarkStart w:id="63" w:name="_Toc23972_WPSOffice_Level2"/>
      <w:bookmarkStart w:id="64" w:name="_Toc20587_WPSOffice_Level3"/>
      <w:r>
        <w:rPr>
          <w:rFonts w:ascii="宋体" w:hAnsi="宋体"/>
          <w:sz w:val="24"/>
          <w:highlight w:val="none"/>
        </w:rPr>
        <w:t xml:space="preserve">3.2 </w:t>
      </w:r>
      <w:r>
        <w:rPr>
          <w:rFonts w:hint="eastAsia" w:ascii="宋体" w:hAnsi="宋体"/>
          <w:sz w:val="24"/>
          <w:highlight w:val="none"/>
        </w:rPr>
        <w:t>本项目交货期：见“供应商须知前附表”。</w:t>
      </w:r>
      <w:bookmarkEnd w:id="62"/>
      <w:bookmarkEnd w:id="63"/>
      <w:bookmarkEnd w:id="64"/>
    </w:p>
    <w:p>
      <w:pPr>
        <w:spacing w:line="460" w:lineRule="exact"/>
        <w:ind w:firstLine="480" w:firstLineChars="200"/>
        <w:rPr>
          <w:rFonts w:ascii="宋体" w:hAnsi="宋体"/>
          <w:sz w:val="24"/>
          <w:highlight w:val="none"/>
        </w:rPr>
      </w:pPr>
      <w:bookmarkStart w:id="65" w:name="_Toc10248"/>
      <w:r>
        <w:rPr>
          <w:rFonts w:hint="eastAsia" w:ascii="宋体" w:hAnsi="宋体"/>
          <w:sz w:val="24"/>
          <w:highlight w:val="none"/>
        </w:rPr>
        <w:t>4.供应商资格要求</w:t>
      </w:r>
      <w:bookmarkEnd w:id="65"/>
    </w:p>
    <w:p>
      <w:pPr>
        <w:spacing w:line="460" w:lineRule="exact"/>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 xml:space="preserve">.1 </w:t>
      </w:r>
      <w:r>
        <w:rPr>
          <w:rFonts w:hint="eastAsia" w:ascii="宋体" w:hAnsi="宋体"/>
          <w:sz w:val="24"/>
          <w:highlight w:val="none"/>
        </w:rPr>
        <w:t>供应商应当符合《中华人民共和国政府采购法》第二十二条规定的条件。</w:t>
      </w:r>
    </w:p>
    <w:p>
      <w:pPr>
        <w:spacing w:line="460" w:lineRule="exact"/>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 xml:space="preserve">.2 </w:t>
      </w:r>
      <w:r>
        <w:rPr>
          <w:rFonts w:hint="eastAsia" w:ascii="宋体" w:hAnsi="宋体"/>
          <w:sz w:val="24"/>
          <w:highlight w:val="none"/>
        </w:rPr>
        <w:t>采购人根据本项目的特殊要求规定供应商应具备的特定条件：</w:t>
      </w:r>
    </w:p>
    <w:p>
      <w:pPr>
        <w:spacing w:line="460" w:lineRule="exact"/>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.2.</w:t>
      </w:r>
      <w:r>
        <w:rPr>
          <w:rFonts w:hint="eastAsia" w:ascii="宋体" w:hAnsi="宋体"/>
          <w:sz w:val="24"/>
          <w:highlight w:val="none"/>
        </w:rPr>
        <w:t>1供应商在投标截止时间前未被列入“信用中国”网站（www.creditchina.gov.cn）失信被执行人、重大税收违法案件当事人名单、政府采购严重违法失信行为记录名单及中国政府采购网（www.ccgp.gov.cn）“政府采购严重违法失信行为信息记录”，“中国裁判文书网”无行贿犯罪记录（查询</w:t>
      </w:r>
      <w:r>
        <w:rPr>
          <w:rFonts w:hint="eastAsia" w:ascii="宋体" w:hAnsi="宋体"/>
          <w:sz w:val="24"/>
          <w:highlight w:val="none"/>
          <w:lang w:eastAsia="zh-CN"/>
        </w:rPr>
        <w:t>结果截图</w:t>
      </w:r>
      <w:r>
        <w:rPr>
          <w:rFonts w:hint="eastAsia" w:ascii="宋体" w:hAnsi="宋体"/>
          <w:sz w:val="24"/>
          <w:highlight w:val="none"/>
        </w:rPr>
        <w:t>）。</w:t>
      </w:r>
    </w:p>
    <w:p>
      <w:pPr>
        <w:adjustRightInd w:val="0"/>
        <w:snapToGrid w:val="0"/>
        <w:spacing w:beforeLines="50"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.2.</w:t>
      </w:r>
      <w:r>
        <w:rPr>
          <w:rFonts w:hint="eastAsia" w:ascii="宋体" w:hAnsi="宋体"/>
          <w:sz w:val="24"/>
          <w:highlight w:val="none"/>
        </w:rPr>
        <w:t>2采购项目有特殊要求，响应文件</w:t>
      </w:r>
      <w:r>
        <w:rPr>
          <w:rFonts w:hint="eastAsia" w:ascii="宋体" w:hAnsi="宋体"/>
          <w:sz w:val="24"/>
          <w:highlight w:val="none"/>
          <w:lang w:val="zh-CN"/>
        </w:rPr>
        <w:t>规定的</w:t>
      </w:r>
      <w:r>
        <w:rPr>
          <w:rFonts w:hint="eastAsia" w:ascii="宋体" w:hAnsi="宋体"/>
          <w:sz w:val="24"/>
          <w:highlight w:val="none"/>
        </w:rPr>
        <w:t>供应商特定资格条件。</w:t>
      </w:r>
    </w:p>
    <w:p>
      <w:pPr>
        <w:spacing w:line="460" w:lineRule="exact"/>
        <w:ind w:firstLine="480" w:firstLineChars="200"/>
        <w:rPr>
          <w:rFonts w:ascii="宋体" w:hAnsi="宋体"/>
          <w:sz w:val="24"/>
          <w:highlight w:val="none"/>
        </w:rPr>
      </w:pPr>
      <w:r>
        <w:rPr>
          <w:rFonts w:hint="eastAsia" w:ascii="宋体" w:hAnsi="宋体"/>
          <w:sz w:val="24"/>
          <w:highlight w:val="none"/>
        </w:rPr>
        <w:t>4.2.3供应商不得存在下列情形之一：</w:t>
      </w:r>
    </w:p>
    <w:p>
      <w:pPr>
        <w:spacing w:line="460" w:lineRule="exact"/>
        <w:ind w:firstLine="480" w:firstLineChars="200"/>
        <w:rPr>
          <w:rFonts w:ascii="宋体" w:hAnsi="宋体"/>
          <w:sz w:val="24"/>
          <w:highlight w:val="none"/>
        </w:rPr>
      </w:pPr>
      <w:bookmarkStart w:id="66" w:name="_Toc17687_WPSOffice_Level3"/>
      <w:bookmarkStart w:id="67" w:name="_Toc29818_WPSOffice_Level3"/>
      <w:r>
        <w:rPr>
          <w:rFonts w:hint="eastAsia" w:ascii="宋体" w:hAnsi="宋体"/>
          <w:sz w:val="24"/>
          <w:highlight w:val="none"/>
        </w:rPr>
        <w:t>（l）与采购人或采购代理机构存在隶属关系或者其他利害关系；</w:t>
      </w:r>
      <w:bookmarkEnd w:id="66"/>
      <w:bookmarkEnd w:id="67"/>
    </w:p>
    <w:p>
      <w:pPr>
        <w:spacing w:line="460" w:lineRule="exact"/>
        <w:ind w:firstLine="480" w:firstLineChars="200"/>
        <w:rPr>
          <w:rFonts w:ascii="宋体" w:hAnsi="宋体"/>
          <w:sz w:val="24"/>
          <w:highlight w:val="none"/>
        </w:rPr>
      </w:pPr>
      <w:r>
        <w:rPr>
          <w:rFonts w:hint="eastAsia" w:ascii="宋体" w:hAnsi="宋体"/>
          <w:sz w:val="24"/>
          <w:highlight w:val="none"/>
        </w:rPr>
        <w:t>（2）供应商或者其法定代表人、董事、监事、高级管理人员因经营活动中的违法行为受到行政处罚，但警告和罚款额在三万元以下的行政处罚除外；</w:t>
      </w:r>
    </w:p>
    <w:p>
      <w:pPr>
        <w:spacing w:line="460" w:lineRule="exact"/>
        <w:ind w:firstLine="480" w:firstLineChars="200"/>
        <w:rPr>
          <w:rFonts w:ascii="宋体" w:hAnsi="宋体"/>
          <w:sz w:val="24"/>
          <w:highlight w:val="none"/>
        </w:rPr>
      </w:pPr>
      <w:r>
        <w:rPr>
          <w:rFonts w:hint="eastAsia" w:ascii="宋体" w:hAnsi="宋体"/>
          <w:sz w:val="24"/>
          <w:highlight w:val="none"/>
        </w:rPr>
        <w:t>（3）供应商或者其法定代表人、董事、监事、高级管理人员因经营活动中的违法行为受到刑事处罚。</w:t>
      </w:r>
    </w:p>
    <w:p>
      <w:pPr>
        <w:spacing w:line="460" w:lineRule="exact"/>
        <w:ind w:firstLine="480" w:firstLineChars="200"/>
        <w:rPr>
          <w:rFonts w:ascii="宋体" w:hAnsi="宋体"/>
          <w:sz w:val="24"/>
          <w:highlight w:val="none"/>
        </w:rPr>
      </w:pPr>
      <w:r>
        <w:rPr>
          <w:rFonts w:hint="eastAsia" w:ascii="宋体" w:hAnsi="宋体"/>
          <w:sz w:val="24"/>
          <w:highlight w:val="none"/>
        </w:rPr>
        <w:t>4.3法定代表人或者负责人为同一人或者存在控股、管理关系的两个以上供应商，不得参加同一政府采购项目投标。</w:t>
      </w:r>
    </w:p>
    <w:p>
      <w:pPr>
        <w:spacing w:line="460" w:lineRule="exact"/>
        <w:ind w:firstLine="480" w:firstLineChars="200"/>
        <w:rPr>
          <w:rFonts w:ascii="宋体" w:hAnsi="宋体"/>
          <w:sz w:val="24"/>
          <w:highlight w:val="none"/>
        </w:rPr>
      </w:pPr>
      <w:r>
        <w:rPr>
          <w:rFonts w:hint="eastAsia" w:ascii="宋体" w:hAnsi="宋体"/>
          <w:sz w:val="24"/>
          <w:highlight w:val="none"/>
        </w:rPr>
        <w:t>5.投标费用</w:t>
      </w:r>
    </w:p>
    <w:p>
      <w:pPr>
        <w:spacing w:line="460" w:lineRule="exact"/>
        <w:ind w:firstLine="480" w:firstLineChars="200"/>
        <w:rPr>
          <w:rFonts w:ascii="宋体" w:hAnsi="宋体"/>
          <w:sz w:val="24"/>
          <w:highlight w:val="none"/>
        </w:rPr>
      </w:pPr>
      <w:r>
        <w:rPr>
          <w:rFonts w:hint="eastAsia" w:ascii="宋体" w:hAnsi="宋体"/>
          <w:sz w:val="24"/>
          <w:highlight w:val="none"/>
        </w:rPr>
        <w:t>本项目</w:t>
      </w:r>
      <w:r>
        <w:rPr>
          <w:rFonts w:hint="eastAsia" w:ascii="宋体" w:hAnsi="宋体"/>
          <w:sz w:val="24"/>
          <w:highlight w:val="none"/>
          <w:lang w:eastAsia="zh-CN"/>
        </w:rPr>
        <w:t>无</w:t>
      </w:r>
      <w:r>
        <w:rPr>
          <w:rFonts w:hint="eastAsia" w:ascii="宋体" w:hAnsi="宋体"/>
          <w:sz w:val="24"/>
          <w:highlight w:val="none"/>
        </w:rPr>
        <w:t>集采机构不收取任何费用。供应商应自行承担所有参与投标的相关费用，不论投标的结果如何，采购人无义务和责任承担这些费用。</w:t>
      </w:r>
    </w:p>
    <w:p>
      <w:pPr>
        <w:spacing w:line="460" w:lineRule="exact"/>
        <w:ind w:firstLine="480" w:firstLineChars="200"/>
        <w:rPr>
          <w:rFonts w:ascii="宋体" w:hAnsi="宋体"/>
          <w:sz w:val="24"/>
          <w:highlight w:val="none"/>
        </w:rPr>
      </w:pPr>
      <w:r>
        <w:rPr>
          <w:rFonts w:hint="eastAsia" w:ascii="宋体" w:hAnsi="宋体"/>
          <w:sz w:val="24"/>
          <w:highlight w:val="none"/>
        </w:rPr>
        <w:t>6.联合体投标</w:t>
      </w:r>
    </w:p>
    <w:p>
      <w:pPr>
        <w:spacing w:line="460" w:lineRule="exact"/>
        <w:ind w:firstLine="480" w:firstLineChars="200"/>
        <w:rPr>
          <w:rFonts w:ascii="宋体" w:hAnsi="宋体"/>
          <w:sz w:val="24"/>
          <w:highlight w:val="none"/>
        </w:rPr>
      </w:pPr>
      <w:r>
        <w:rPr>
          <w:rFonts w:hint="eastAsia" w:ascii="宋体" w:hAnsi="宋体"/>
          <w:sz w:val="24"/>
          <w:highlight w:val="none"/>
        </w:rPr>
        <w:t>本次招标不接受联合体投标。</w:t>
      </w:r>
    </w:p>
    <w:p>
      <w:pPr>
        <w:spacing w:line="460" w:lineRule="exact"/>
        <w:ind w:firstLine="480" w:firstLineChars="200"/>
        <w:rPr>
          <w:rFonts w:ascii="宋体" w:hAnsi="宋体"/>
          <w:sz w:val="24"/>
          <w:highlight w:val="none"/>
        </w:rPr>
      </w:pPr>
      <w:r>
        <w:rPr>
          <w:rFonts w:hint="eastAsia" w:ascii="宋体" w:hAnsi="宋体"/>
          <w:sz w:val="24"/>
          <w:highlight w:val="none"/>
        </w:rPr>
        <w:t>7.采购进口产品</w:t>
      </w:r>
    </w:p>
    <w:p>
      <w:pPr>
        <w:spacing w:line="460" w:lineRule="exact"/>
        <w:ind w:firstLine="480" w:firstLineChars="200"/>
        <w:rPr>
          <w:rFonts w:ascii="宋体" w:hAnsi="宋体"/>
          <w:sz w:val="24"/>
          <w:highlight w:val="none"/>
        </w:rPr>
      </w:pPr>
      <w:r>
        <w:rPr>
          <w:rFonts w:hint="eastAsia" w:ascii="宋体" w:hAnsi="宋体"/>
          <w:sz w:val="24"/>
          <w:highlight w:val="none"/>
        </w:rPr>
        <w:t>本采购项目拒绝进口产品参加投标。</w:t>
      </w:r>
    </w:p>
    <w:p>
      <w:pPr>
        <w:spacing w:line="460" w:lineRule="exact"/>
        <w:ind w:firstLine="480" w:firstLineChars="200"/>
        <w:rPr>
          <w:rFonts w:ascii="宋体" w:hAnsi="宋体"/>
          <w:sz w:val="24"/>
          <w:highlight w:val="none"/>
        </w:rPr>
      </w:pPr>
      <w:r>
        <w:rPr>
          <w:rFonts w:hint="eastAsia" w:ascii="宋体" w:hAnsi="宋体"/>
          <w:sz w:val="24"/>
          <w:highlight w:val="none"/>
        </w:rPr>
        <w:t>8.现场踏勘</w:t>
      </w:r>
    </w:p>
    <w:p>
      <w:pPr>
        <w:spacing w:line="460" w:lineRule="exact"/>
        <w:ind w:firstLine="480" w:firstLineChars="200"/>
        <w:rPr>
          <w:rFonts w:ascii="宋体" w:hAnsi="宋体"/>
          <w:sz w:val="24"/>
          <w:highlight w:val="none"/>
        </w:rPr>
      </w:pPr>
      <w:r>
        <w:rPr>
          <w:rFonts w:hint="eastAsia" w:ascii="宋体" w:hAnsi="宋体"/>
          <w:sz w:val="24"/>
          <w:highlight w:val="none"/>
        </w:rPr>
        <w:t>本采购项目不组织现场踏勘。</w:t>
      </w:r>
    </w:p>
    <w:p>
      <w:pPr>
        <w:spacing w:line="460" w:lineRule="exact"/>
        <w:ind w:firstLine="480" w:firstLineChars="200"/>
        <w:rPr>
          <w:rFonts w:ascii="宋体" w:hAnsi="宋体"/>
          <w:sz w:val="24"/>
          <w:highlight w:val="none"/>
        </w:rPr>
      </w:pPr>
      <w:bookmarkStart w:id="68" w:name="_Toc20858"/>
      <w:r>
        <w:rPr>
          <w:rFonts w:hint="eastAsia" w:ascii="宋体" w:hAnsi="宋体"/>
          <w:sz w:val="24"/>
          <w:highlight w:val="none"/>
        </w:rPr>
        <w:t>9.质疑</w:t>
      </w:r>
      <w:bookmarkEnd w:id="68"/>
    </w:p>
    <w:p>
      <w:pPr>
        <w:spacing w:line="460" w:lineRule="exact"/>
        <w:ind w:firstLine="480" w:firstLineChars="200"/>
        <w:rPr>
          <w:rFonts w:ascii="宋体" w:hAnsi="宋体"/>
          <w:sz w:val="24"/>
          <w:highlight w:val="none"/>
        </w:rPr>
      </w:pPr>
      <w:r>
        <w:rPr>
          <w:rFonts w:hint="eastAsia" w:ascii="宋体" w:hAnsi="宋体"/>
          <w:sz w:val="24"/>
          <w:highlight w:val="none"/>
        </w:rPr>
        <w:t>9</w:t>
      </w:r>
      <w:r>
        <w:rPr>
          <w:rFonts w:ascii="宋体" w:hAnsi="宋体"/>
          <w:sz w:val="24"/>
          <w:highlight w:val="none"/>
        </w:rPr>
        <w:t xml:space="preserve">.1 </w:t>
      </w:r>
      <w:r>
        <w:rPr>
          <w:rFonts w:hint="eastAsia" w:ascii="宋体" w:hAnsi="宋体"/>
          <w:sz w:val="24"/>
          <w:highlight w:val="none"/>
        </w:rPr>
        <w:t>供应商认为谈判文件、招标过程和成交结果使自己的合法权益受到损害的，可以在知道或者应知其权益受到损害之日起七个工作日内，以书面形式（纸质原件）向下列部门或采购人提出质疑。提出质疑的供应商应当是参与所质疑项目采购活动的供应商，供应商针对同一采购程序环节的质疑应当在法定质疑期内一次性提出，提出质疑时应当有明确的请求和必要的证明材料。</w:t>
      </w:r>
    </w:p>
    <w:p>
      <w:pPr>
        <w:spacing w:line="460" w:lineRule="exact"/>
        <w:ind w:firstLine="480" w:firstLineChars="200"/>
        <w:rPr>
          <w:rFonts w:hint="eastAsia" w:ascii="宋体" w:hAnsi="宋体"/>
          <w:sz w:val="24"/>
          <w:highlight w:val="none"/>
        </w:rPr>
      </w:pPr>
      <w:r>
        <w:rPr>
          <w:rFonts w:hint="eastAsia" w:ascii="宋体" w:hAnsi="宋体"/>
          <w:sz w:val="24"/>
          <w:highlight w:val="none"/>
        </w:rPr>
        <w:t>受理质疑部门：采购单位。</w:t>
      </w:r>
    </w:p>
    <w:p>
      <w:pPr>
        <w:spacing w:line="460" w:lineRule="exact"/>
        <w:ind w:firstLine="480" w:firstLineChars="200"/>
        <w:rPr>
          <w:rFonts w:ascii="宋体" w:hAnsi="宋体"/>
          <w:sz w:val="24"/>
          <w:highlight w:val="none"/>
        </w:rPr>
      </w:pPr>
      <w:r>
        <w:rPr>
          <w:rFonts w:hint="eastAsia" w:ascii="宋体" w:hAnsi="宋体"/>
          <w:sz w:val="24"/>
          <w:highlight w:val="none"/>
        </w:rPr>
        <w:t>9</w:t>
      </w:r>
      <w:r>
        <w:rPr>
          <w:rFonts w:ascii="宋体" w:hAnsi="宋体"/>
          <w:sz w:val="24"/>
          <w:highlight w:val="none"/>
        </w:rPr>
        <w:t xml:space="preserve">.2 </w:t>
      </w:r>
      <w:r>
        <w:rPr>
          <w:rFonts w:hint="eastAsia" w:ascii="宋体" w:hAnsi="宋体"/>
          <w:sz w:val="24"/>
          <w:highlight w:val="none"/>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应当提交供应商签署的授权委托书。</w:t>
      </w:r>
    </w:p>
    <w:p>
      <w:pPr>
        <w:spacing w:line="460" w:lineRule="exact"/>
        <w:ind w:firstLine="480" w:firstLineChars="200"/>
        <w:rPr>
          <w:rFonts w:ascii="宋体" w:hAnsi="宋体"/>
          <w:sz w:val="24"/>
          <w:highlight w:val="none"/>
        </w:rPr>
      </w:pPr>
      <w:r>
        <w:rPr>
          <w:rFonts w:hint="eastAsia" w:ascii="宋体" w:hAnsi="宋体"/>
          <w:sz w:val="24"/>
          <w:highlight w:val="none"/>
        </w:rPr>
        <w:t>9</w:t>
      </w:r>
      <w:r>
        <w:rPr>
          <w:rFonts w:ascii="宋体" w:hAnsi="宋体"/>
          <w:sz w:val="24"/>
          <w:highlight w:val="none"/>
        </w:rPr>
        <w:t xml:space="preserve">.3 </w:t>
      </w:r>
      <w:r>
        <w:rPr>
          <w:rFonts w:hint="eastAsia" w:ascii="宋体" w:hAnsi="宋体"/>
          <w:sz w:val="24"/>
          <w:highlight w:val="none"/>
        </w:rPr>
        <w:t>供应商提出质疑应当提交质疑函和必要的证明材料（如材料中有外文资料应同时附上中文译本）。质疑函应当包括下列内容：</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）供应商的姓名或者名称、地址、邮编、联系人及联系电话；</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）质疑项目的名称、编号；</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）具体、明确的质疑事项和与质疑事项相关的请求；</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4</w:t>
      </w:r>
      <w:r>
        <w:rPr>
          <w:rFonts w:hint="eastAsia" w:ascii="宋体" w:hAnsi="宋体"/>
          <w:sz w:val="24"/>
          <w:highlight w:val="none"/>
        </w:rPr>
        <w:t>）事实依据；</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5</w:t>
      </w:r>
      <w:r>
        <w:rPr>
          <w:rFonts w:hint="eastAsia" w:ascii="宋体" w:hAnsi="宋体"/>
          <w:sz w:val="24"/>
          <w:highlight w:val="none"/>
        </w:rPr>
        <w:t>）必要的法律依据；</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6</w:t>
      </w:r>
      <w:r>
        <w:rPr>
          <w:rFonts w:hint="eastAsia" w:ascii="宋体" w:hAnsi="宋体"/>
          <w:sz w:val="24"/>
          <w:highlight w:val="none"/>
        </w:rPr>
        <w:t>）提出质疑的日期。</w:t>
      </w:r>
    </w:p>
    <w:p>
      <w:pPr>
        <w:spacing w:line="460" w:lineRule="exact"/>
        <w:ind w:firstLine="480" w:firstLineChars="200"/>
        <w:rPr>
          <w:rFonts w:ascii="宋体" w:hAnsi="宋体"/>
          <w:sz w:val="24"/>
          <w:highlight w:val="none"/>
        </w:rPr>
      </w:pPr>
      <w:r>
        <w:rPr>
          <w:rFonts w:hint="eastAsia" w:ascii="宋体" w:hAnsi="宋体"/>
          <w:sz w:val="24"/>
          <w:highlight w:val="none"/>
        </w:rPr>
        <w:t>供应商为自然人的，应当由本人签字；供应商为法人或者其他组织的，应当由法定代表人、主要负责人，或者其授权代表签字或者盖章，并加盖公章。</w:t>
      </w:r>
    </w:p>
    <w:p>
      <w:pPr>
        <w:spacing w:line="460" w:lineRule="exact"/>
        <w:ind w:firstLine="480" w:firstLineChars="200"/>
        <w:rPr>
          <w:rFonts w:ascii="宋体" w:hAnsi="宋体"/>
          <w:sz w:val="24"/>
          <w:highlight w:val="none"/>
        </w:rPr>
      </w:pPr>
      <w:r>
        <w:rPr>
          <w:rFonts w:hint="eastAsia" w:ascii="宋体" w:hAnsi="宋体"/>
          <w:sz w:val="24"/>
          <w:highlight w:val="none"/>
        </w:rPr>
        <w:t>9</w:t>
      </w:r>
      <w:r>
        <w:rPr>
          <w:rFonts w:ascii="宋体" w:hAnsi="宋体"/>
          <w:sz w:val="24"/>
          <w:highlight w:val="none"/>
        </w:rPr>
        <w:t xml:space="preserve">.4 </w:t>
      </w:r>
      <w:r>
        <w:rPr>
          <w:rFonts w:hint="eastAsia" w:ascii="宋体" w:hAnsi="宋体"/>
          <w:sz w:val="24"/>
          <w:highlight w:val="none"/>
        </w:rPr>
        <w:t>采购人、采购代理机构将在收到供应商的书面质疑后七个工作日内作出答复，并以书面形式通知质疑供应商和其他有关供应商，但答复的内容不涉及商业秘密。</w:t>
      </w:r>
    </w:p>
    <w:p>
      <w:pPr>
        <w:spacing w:line="460" w:lineRule="exact"/>
        <w:ind w:firstLine="480" w:firstLineChars="200"/>
        <w:rPr>
          <w:rFonts w:ascii="宋体" w:hAnsi="宋体"/>
          <w:sz w:val="24"/>
          <w:highlight w:val="none"/>
        </w:rPr>
      </w:pPr>
      <w:bookmarkStart w:id="69" w:name="_Toc18210"/>
      <w:r>
        <w:rPr>
          <w:rFonts w:hint="eastAsia" w:ascii="宋体" w:hAnsi="宋体"/>
          <w:sz w:val="24"/>
          <w:highlight w:val="none"/>
        </w:rPr>
        <w:t>10.投诉</w:t>
      </w:r>
      <w:bookmarkEnd w:id="69"/>
    </w:p>
    <w:p>
      <w:pPr>
        <w:spacing w:line="460" w:lineRule="exact"/>
        <w:ind w:firstLine="480" w:firstLineChars="200"/>
        <w:rPr>
          <w:rFonts w:ascii="宋体" w:hAnsi="宋体"/>
          <w:sz w:val="24"/>
          <w:highlight w:val="none"/>
        </w:rPr>
      </w:pPr>
      <w:r>
        <w:rPr>
          <w:rFonts w:hint="eastAsia" w:ascii="宋体" w:hAnsi="宋体"/>
          <w:sz w:val="24"/>
          <w:highlight w:val="none"/>
        </w:rPr>
        <w:t>投诉必须首先经过质疑程序。质疑供应商对采购人、采购代理机构的答复不满意，或者采购人、采购代理机构未在规定的时间内做出答复的，可以在答复期满后十五个工作日内书面向政府采购管理处提起投诉。</w:t>
      </w:r>
    </w:p>
    <w:p>
      <w:pPr>
        <w:pStyle w:val="4"/>
        <w:spacing w:before="0" w:line="240" w:lineRule="atLeast"/>
        <w:ind w:left="0" w:firstLine="482" w:firstLineChars="200"/>
        <w:rPr>
          <w:rFonts w:ascii="宋体" w:hAnsi="宋体" w:eastAsia="宋体"/>
          <w:sz w:val="24"/>
          <w:szCs w:val="24"/>
          <w:highlight w:val="none"/>
        </w:rPr>
      </w:pPr>
      <w:bookmarkStart w:id="70" w:name="_Toc17687_WPSOffice_Level1"/>
      <w:bookmarkStart w:id="71" w:name="_Toc60996678"/>
      <w:bookmarkStart w:id="72" w:name="_Toc5468"/>
      <w:bookmarkStart w:id="73" w:name="_Toc20599_WPSOffice_Level2"/>
      <w:bookmarkStart w:id="74" w:name="_Toc29818_WPSOffice_Level1"/>
      <w:bookmarkStart w:id="75" w:name="_Toc5190"/>
      <w:bookmarkStart w:id="76" w:name="_二、招标文件"/>
      <w:r>
        <w:rPr>
          <w:rFonts w:hint="eastAsia" w:ascii="宋体" w:hAnsi="宋体" w:eastAsia="宋体"/>
          <w:sz w:val="24"/>
          <w:szCs w:val="24"/>
          <w:highlight w:val="none"/>
        </w:rPr>
        <w:t>二、谈判文件</w:t>
      </w:r>
      <w:bookmarkEnd w:id="70"/>
      <w:bookmarkEnd w:id="71"/>
      <w:bookmarkEnd w:id="72"/>
      <w:bookmarkEnd w:id="73"/>
      <w:bookmarkEnd w:id="74"/>
      <w:bookmarkEnd w:id="75"/>
    </w:p>
    <w:bookmarkEnd w:id="76"/>
    <w:p>
      <w:pPr>
        <w:spacing w:line="460" w:lineRule="exact"/>
        <w:ind w:firstLine="480" w:firstLineChars="200"/>
        <w:rPr>
          <w:rFonts w:ascii="宋体" w:hAnsi="宋体"/>
          <w:sz w:val="24"/>
          <w:highlight w:val="none"/>
        </w:rPr>
      </w:pPr>
      <w:bookmarkStart w:id="77" w:name="_Toc19852"/>
      <w:r>
        <w:rPr>
          <w:rFonts w:hint="eastAsia" w:ascii="宋体" w:hAnsi="宋体"/>
          <w:sz w:val="24"/>
          <w:highlight w:val="none"/>
        </w:rPr>
        <w:t>11.谈判文件构成</w:t>
      </w:r>
      <w:bookmarkEnd w:id="77"/>
    </w:p>
    <w:p>
      <w:pPr>
        <w:spacing w:line="460" w:lineRule="exact"/>
        <w:ind w:firstLine="480" w:firstLineChars="200"/>
        <w:rPr>
          <w:rFonts w:ascii="宋体" w:hAnsi="宋体"/>
          <w:sz w:val="24"/>
          <w:highlight w:val="none"/>
        </w:rPr>
      </w:pPr>
      <w:r>
        <w:rPr>
          <w:rFonts w:hint="eastAsia" w:ascii="宋体" w:hAnsi="宋体"/>
          <w:sz w:val="24"/>
          <w:highlight w:val="none"/>
        </w:rPr>
        <w:t>要求提供的货物、采购过程及合同条款在谈判文件中均有说明，谈判文件共七章，各章的内容如下：</w:t>
      </w:r>
    </w:p>
    <w:p>
      <w:pPr>
        <w:spacing w:line="460" w:lineRule="exact"/>
        <w:ind w:firstLine="480" w:firstLineChars="200"/>
        <w:rPr>
          <w:rFonts w:ascii="宋体" w:hAnsi="宋体"/>
          <w:sz w:val="24"/>
          <w:highlight w:val="none"/>
        </w:rPr>
      </w:pPr>
      <w:bookmarkStart w:id="78" w:name="_Toc20599_WPSOffice_Level1"/>
      <w:bookmarkStart w:id="79" w:name="_Toc17346_WPSOffice_Level2"/>
      <w:bookmarkStart w:id="80" w:name="_Toc19285_WPSOffice_Level2"/>
      <w:r>
        <w:rPr>
          <w:rFonts w:hint="eastAsia" w:ascii="宋体" w:hAnsi="宋体"/>
          <w:sz w:val="24"/>
          <w:highlight w:val="none"/>
        </w:rPr>
        <w:t>第一章竞争性谈判公告</w:t>
      </w:r>
      <w:bookmarkEnd w:id="78"/>
      <w:bookmarkEnd w:id="79"/>
      <w:bookmarkEnd w:id="80"/>
    </w:p>
    <w:p>
      <w:pPr>
        <w:spacing w:line="460" w:lineRule="exact"/>
        <w:ind w:firstLine="480" w:firstLineChars="200"/>
        <w:rPr>
          <w:rFonts w:ascii="宋体" w:hAnsi="宋体"/>
          <w:sz w:val="24"/>
          <w:highlight w:val="none"/>
        </w:rPr>
      </w:pPr>
      <w:bookmarkStart w:id="81" w:name="_Toc23365_WPSOffice_Level2"/>
      <w:bookmarkStart w:id="82" w:name="_Toc16744_WPSOffice_Level2"/>
      <w:bookmarkStart w:id="83" w:name="_Toc26127_WPSOffice_Level1"/>
      <w:r>
        <w:rPr>
          <w:rFonts w:hint="eastAsia" w:ascii="宋体" w:hAnsi="宋体"/>
          <w:sz w:val="24"/>
          <w:highlight w:val="none"/>
        </w:rPr>
        <w:t>第二章供应商须知</w:t>
      </w:r>
      <w:bookmarkEnd w:id="81"/>
      <w:bookmarkEnd w:id="82"/>
      <w:bookmarkEnd w:id="83"/>
    </w:p>
    <w:p>
      <w:pPr>
        <w:spacing w:line="460" w:lineRule="exact"/>
        <w:ind w:firstLine="480" w:firstLineChars="200"/>
        <w:rPr>
          <w:rFonts w:ascii="宋体" w:hAnsi="宋体"/>
          <w:sz w:val="24"/>
          <w:highlight w:val="none"/>
        </w:rPr>
      </w:pPr>
      <w:bookmarkStart w:id="84" w:name="_Toc25217_WPSOffice_Level1"/>
      <w:bookmarkStart w:id="85" w:name="_Toc12853_WPSOffice_Level2"/>
      <w:bookmarkStart w:id="86" w:name="_Toc27417_WPSOffice_Level2"/>
      <w:r>
        <w:rPr>
          <w:rFonts w:hint="eastAsia" w:ascii="宋体" w:hAnsi="宋体"/>
          <w:sz w:val="24"/>
          <w:highlight w:val="none"/>
        </w:rPr>
        <w:t>第三章合同书样式</w:t>
      </w:r>
      <w:bookmarkEnd w:id="84"/>
      <w:bookmarkEnd w:id="85"/>
      <w:bookmarkEnd w:id="86"/>
    </w:p>
    <w:p>
      <w:pPr>
        <w:spacing w:line="460" w:lineRule="exact"/>
        <w:ind w:firstLine="480" w:firstLineChars="200"/>
        <w:rPr>
          <w:rFonts w:ascii="宋体" w:hAnsi="宋体"/>
          <w:sz w:val="24"/>
          <w:highlight w:val="none"/>
        </w:rPr>
      </w:pPr>
      <w:bookmarkStart w:id="87" w:name="_Toc19055_WPSOffice_Level2"/>
      <w:bookmarkStart w:id="88" w:name="_Toc23738_WPSOffice_Level2"/>
      <w:bookmarkStart w:id="89" w:name="_Toc12208_WPSOffice_Level1"/>
      <w:r>
        <w:rPr>
          <w:rFonts w:hint="eastAsia" w:ascii="宋体" w:hAnsi="宋体"/>
          <w:sz w:val="24"/>
          <w:highlight w:val="none"/>
        </w:rPr>
        <w:t>第四章响应文件格式</w:t>
      </w:r>
      <w:bookmarkEnd w:id="87"/>
      <w:bookmarkEnd w:id="88"/>
      <w:bookmarkEnd w:id="89"/>
    </w:p>
    <w:p>
      <w:pPr>
        <w:spacing w:line="460" w:lineRule="exact"/>
        <w:ind w:firstLine="480" w:firstLineChars="200"/>
        <w:rPr>
          <w:rFonts w:ascii="宋体" w:hAnsi="宋体"/>
          <w:sz w:val="24"/>
          <w:highlight w:val="none"/>
        </w:rPr>
      </w:pPr>
      <w:bookmarkStart w:id="90" w:name="_Toc22224_WPSOffice_Level2"/>
      <w:bookmarkStart w:id="91" w:name="_Toc20995_WPSOffice_Level1"/>
      <w:bookmarkStart w:id="92" w:name="_Toc30699_WPSOffice_Level2"/>
      <w:r>
        <w:rPr>
          <w:rFonts w:hint="eastAsia" w:ascii="宋体" w:hAnsi="宋体"/>
          <w:sz w:val="24"/>
          <w:highlight w:val="none"/>
        </w:rPr>
        <w:t>第五章</w:t>
      </w:r>
      <w:bookmarkEnd w:id="90"/>
      <w:bookmarkEnd w:id="91"/>
      <w:bookmarkEnd w:id="92"/>
      <w:r>
        <w:rPr>
          <w:rFonts w:hint="eastAsia" w:ascii="宋体" w:hAnsi="宋体"/>
          <w:sz w:val="24"/>
          <w:highlight w:val="none"/>
          <w:lang w:eastAsia="zh-CN"/>
        </w:rPr>
        <w:t>服务内容及要求</w:t>
      </w:r>
    </w:p>
    <w:p>
      <w:pPr>
        <w:spacing w:line="460" w:lineRule="exact"/>
        <w:ind w:firstLine="480" w:firstLineChars="200"/>
        <w:rPr>
          <w:rFonts w:ascii="宋体" w:hAnsi="宋体"/>
          <w:sz w:val="24"/>
          <w:highlight w:val="none"/>
        </w:rPr>
      </w:pPr>
      <w:bookmarkStart w:id="93" w:name="_Toc13234_WPSOffice_Level2"/>
      <w:bookmarkStart w:id="94" w:name="_Toc7113_WPSOffice_Level2"/>
      <w:bookmarkStart w:id="95" w:name="_Toc6428_WPSOffice_Level1"/>
      <w:r>
        <w:rPr>
          <w:rFonts w:hint="eastAsia" w:ascii="宋体" w:hAnsi="宋体"/>
          <w:sz w:val="24"/>
          <w:highlight w:val="none"/>
        </w:rPr>
        <w:t>第六章</w:t>
      </w:r>
      <w:bookmarkEnd w:id="93"/>
      <w:bookmarkEnd w:id="94"/>
      <w:bookmarkEnd w:id="95"/>
      <w:r>
        <w:rPr>
          <w:rFonts w:hint="eastAsia" w:ascii="宋体" w:hAnsi="宋体"/>
          <w:sz w:val="24"/>
          <w:highlight w:val="none"/>
        </w:rPr>
        <w:t>评审办法</w:t>
      </w:r>
    </w:p>
    <w:p>
      <w:pPr>
        <w:spacing w:line="460" w:lineRule="exact"/>
        <w:ind w:firstLine="480" w:firstLineChars="200"/>
        <w:rPr>
          <w:rFonts w:ascii="宋体" w:hAnsi="宋体"/>
          <w:sz w:val="24"/>
          <w:highlight w:val="none"/>
        </w:rPr>
      </w:pPr>
      <w:bookmarkStart w:id="96" w:name="_Toc27416"/>
      <w:r>
        <w:rPr>
          <w:rFonts w:hint="eastAsia" w:ascii="宋体" w:hAnsi="宋体"/>
          <w:sz w:val="24"/>
          <w:highlight w:val="none"/>
        </w:rPr>
        <w:t>12.谈判文件的澄清</w:t>
      </w:r>
      <w:bookmarkEnd w:id="96"/>
    </w:p>
    <w:p>
      <w:pPr>
        <w:spacing w:line="460" w:lineRule="exact"/>
        <w:ind w:firstLine="480" w:firstLineChars="200"/>
        <w:rPr>
          <w:rFonts w:ascii="宋体" w:hAnsi="宋体"/>
          <w:sz w:val="24"/>
          <w:highlight w:val="none"/>
        </w:rPr>
      </w:pPr>
      <w:r>
        <w:rPr>
          <w:rFonts w:hint="eastAsia" w:ascii="宋体" w:hAnsi="宋体"/>
          <w:sz w:val="24"/>
          <w:highlight w:val="none"/>
        </w:rPr>
        <w:t>12</w:t>
      </w:r>
      <w:r>
        <w:rPr>
          <w:rFonts w:ascii="宋体" w:hAnsi="宋体"/>
          <w:sz w:val="24"/>
          <w:highlight w:val="none"/>
        </w:rPr>
        <w:t xml:space="preserve">.1 </w:t>
      </w:r>
      <w:r>
        <w:rPr>
          <w:rFonts w:hint="eastAsia" w:ascii="宋体" w:hAnsi="宋体"/>
          <w:sz w:val="24"/>
          <w:highlight w:val="none"/>
        </w:rPr>
        <w:t xml:space="preserve">供应商应认真审核第五章“ </w:t>
      </w:r>
      <w:r>
        <w:rPr>
          <w:rFonts w:hint="eastAsia" w:ascii="宋体" w:hAnsi="宋体"/>
          <w:sz w:val="24"/>
          <w:highlight w:val="none"/>
          <w:lang w:eastAsia="zh-CN"/>
        </w:rPr>
        <w:t>服务内容及要求</w:t>
      </w:r>
      <w:r>
        <w:rPr>
          <w:rFonts w:hint="eastAsia" w:ascii="宋体" w:hAnsi="宋体"/>
          <w:sz w:val="24"/>
          <w:highlight w:val="none"/>
        </w:rPr>
        <w:t>”中要求，如发现有误或要求不合理的，供应商必须在“供应商须知前附表”规定截止时间前以书面形式（加盖公章）要求采购</w:t>
      </w:r>
      <w:r>
        <w:rPr>
          <w:rFonts w:hint="eastAsia" w:ascii="宋体" w:hAnsi="宋体"/>
          <w:sz w:val="24"/>
          <w:highlight w:val="none"/>
          <w:lang w:eastAsia="zh-CN"/>
        </w:rPr>
        <w:t>单位</w:t>
      </w:r>
      <w:r>
        <w:rPr>
          <w:rFonts w:hint="eastAsia" w:ascii="宋体" w:hAnsi="宋体"/>
          <w:sz w:val="24"/>
          <w:highlight w:val="none"/>
        </w:rPr>
        <w:t>澄清，截止时间后送达的澄清要求概不接受，由此产生的后果由供应商自行负责。</w:t>
      </w:r>
    </w:p>
    <w:p>
      <w:pPr>
        <w:spacing w:line="460" w:lineRule="exact"/>
        <w:ind w:firstLine="480" w:firstLineChars="200"/>
        <w:rPr>
          <w:rFonts w:ascii="宋体" w:hAnsi="宋体"/>
          <w:sz w:val="24"/>
          <w:highlight w:val="none"/>
        </w:rPr>
      </w:pPr>
      <w:r>
        <w:rPr>
          <w:rFonts w:hint="eastAsia" w:ascii="宋体" w:hAnsi="宋体"/>
          <w:sz w:val="24"/>
          <w:highlight w:val="none"/>
        </w:rPr>
        <w:t>12</w:t>
      </w:r>
      <w:r>
        <w:rPr>
          <w:rFonts w:ascii="宋体" w:hAnsi="宋体"/>
          <w:sz w:val="24"/>
          <w:highlight w:val="none"/>
        </w:rPr>
        <w:t xml:space="preserve">.2 </w:t>
      </w:r>
      <w:r>
        <w:rPr>
          <w:rFonts w:hint="eastAsia" w:ascii="宋体" w:hAnsi="宋体"/>
          <w:sz w:val="24"/>
          <w:highlight w:val="none"/>
        </w:rPr>
        <w:t>采购</w:t>
      </w:r>
      <w:r>
        <w:rPr>
          <w:rFonts w:hint="eastAsia" w:ascii="宋体" w:hAnsi="宋体"/>
          <w:sz w:val="24"/>
          <w:highlight w:val="none"/>
          <w:lang w:eastAsia="zh-CN"/>
        </w:rPr>
        <w:t>单位</w:t>
      </w:r>
      <w:r>
        <w:rPr>
          <w:rFonts w:hint="eastAsia" w:ascii="宋体" w:hAnsi="宋体"/>
          <w:sz w:val="24"/>
          <w:highlight w:val="none"/>
        </w:rPr>
        <w:t>将以书面或网上发布公告形式（发布媒体详见招标公告）答复所有报名的供应商（答复中不包含问题的来源）要求澄清的问题，其他澄清方式无效。</w:t>
      </w:r>
    </w:p>
    <w:p>
      <w:pPr>
        <w:spacing w:line="460" w:lineRule="exact"/>
        <w:ind w:firstLine="480" w:firstLineChars="200"/>
        <w:rPr>
          <w:rFonts w:ascii="宋体" w:hAnsi="宋体"/>
          <w:sz w:val="24"/>
          <w:highlight w:val="none"/>
        </w:rPr>
      </w:pPr>
      <w:bookmarkStart w:id="97" w:name="_Toc29711"/>
      <w:r>
        <w:rPr>
          <w:rFonts w:hint="eastAsia" w:ascii="宋体" w:hAnsi="宋体"/>
          <w:sz w:val="24"/>
          <w:highlight w:val="none"/>
        </w:rPr>
        <w:t>13.谈判文件的修改</w:t>
      </w:r>
      <w:bookmarkEnd w:id="97"/>
    </w:p>
    <w:p>
      <w:pPr>
        <w:spacing w:line="460" w:lineRule="exact"/>
        <w:ind w:firstLine="480" w:firstLineChars="200"/>
        <w:rPr>
          <w:rFonts w:ascii="宋体" w:hAnsi="宋体"/>
          <w:sz w:val="24"/>
          <w:highlight w:val="none"/>
        </w:rPr>
      </w:pPr>
      <w:r>
        <w:rPr>
          <w:rFonts w:hint="eastAsia" w:ascii="宋体" w:hAnsi="宋体"/>
          <w:sz w:val="24"/>
          <w:highlight w:val="none"/>
        </w:rPr>
        <w:t>13</w:t>
      </w:r>
      <w:r>
        <w:rPr>
          <w:rFonts w:ascii="宋体" w:hAnsi="宋体"/>
          <w:sz w:val="24"/>
          <w:highlight w:val="none"/>
        </w:rPr>
        <w:t>.1</w:t>
      </w:r>
      <w:r>
        <w:rPr>
          <w:rFonts w:hint="eastAsia" w:ascii="宋体" w:hAnsi="宋体"/>
          <w:sz w:val="24"/>
          <w:highlight w:val="none"/>
        </w:rPr>
        <w:t>采购</w:t>
      </w:r>
      <w:r>
        <w:rPr>
          <w:rFonts w:hint="eastAsia" w:ascii="宋体" w:hAnsi="宋体"/>
          <w:sz w:val="24"/>
          <w:highlight w:val="none"/>
          <w:lang w:eastAsia="zh-CN"/>
        </w:rPr>
        <w:t>单位</w:t>
      </w:r>
      <w:r>
        <w:rPr>
          <w:rFonts w:hint="eastAsia" w:ascii="宋体" w:hAnsi="宋体"/>
          <w:sz w:val="24"/>
          <w:highlight w:val="none"/>
        </w:rPr>
        <w:t>对已发出的谈判文件进行必要澄清或者修改的，于谈判文件要求提交响应文件截止时间</w:t>
      </w:r>
      <w:r>
        <w:rPr>
          <w:rFonts w:hint="eastAsia" w:ascii="宋体" w:hAnsi="宋体"/>
          <w:sz w:val="24"/>
          <w:highlight w:val="none"/>
          <w:lang w:val="en-US" w:eastAsia="zh-CN"/>
        </w:rPr>
        <w:t>3</w:t>
      </w:r>
      <w:r>
        <w:rPr>
          <w:rFonts w:hint="eastAsia" w:ascii="宋体" w:hAnsi="宋体"/>
          <w:sz w:val="24"/>
          <w:highlight w:val="none"/>
        </w:rPr>
        <w:t>个工作日前，在指定采购信息发布媒体（发布媒体详见招标公告）上发布澄清公告。该澄清或者修改的内容为谈判文件的组成部分。</w:t>
      </w:r>
    </w:p>
    <w:p>
      <w:pPr>
        <w:spacing w:line="460" w:lineRule="exact"/>
        <w:ind w:firstLine="480" w:firstLineChars="200"/>
        <w:rPr>
          <w:rFonts w:ascii="宋体" w:hAnsi="宋体"/>
          <w:sz w:val="24"/>
          <w:highlight w:val="none"/>
        </w:rPr>
      </w:pPr>
      <w:r>
        <w:rPr>
          <w:rFonts w:hint="eastAsia" w:ascii="宋体" w:hAnsi="宋体"/>
          <w:sz w:val="24"/>
          <w:highlight w:val="none"/>
        </w:rPr>
        <w:t>13</w:t>
      </w:r>
      <w:r>
        <w:rPr>
          <w:rFonts w:ascii="宋体" w:hAnsi="宋体"/>
          <w:sz w:val="24"/>
          <w:highlight w:val="none"/>
        </w:rPr>
        <w:t xml:space="preserve">.2 </w:t>
      </w:r>
      <w:r>
        <w:rPr>
          <w:rFonts w:hint="eastAsia" w:ascii="宋体" w:hAnsi="宋体"/>
          <w:sz w:val="24"/>
          <w:highlight w:val="none"/>
        </w:rPr>
        <w:t>澄清或者修改的内容可能影响响应文件编制的，采购</w:t>
      </w:r>
      <w:r>
        <w:rPr>
          <w:rFonts w:hint="eastAsia" w:ascii="宋体" w:hAnsi="宋体"/>
          <w:sz w:val="24"/>
          <w:highlight w:val="none"/>
          <w:lang w:eastAsia="zh-CN"/>
        </w:rPr>
        <w:t>单位</w:t>
      </w:r>
      <w:r>
        <w:rPr>
          <w:rFonts w:hint="eastAsia" w:ascii="宋体" w:hAnsi="宋体"/>
          <w:sz w:val="24"/>
          <w:highlight w:val="none"/>
        </w:rPr>
        <w:t>于提交首次响应文件截止之日3个工作日前，以书面形式通知所有获取谈判文件的潜在供应商；不足3个工作日的，顺延提交响应文件的截止时间。</w:t>
      </w:r>
    </w:p>
    <w:p>
      <w:pPr>
        <w:spacing w:line="460" w:lineRule="exact"/>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3</w:t>
      </w:r>
      <w:r>
        <w:rPr>
          <w:rFonts w:ascii="宋体" w:hAnsi="宋体"/>
          <w:sz w:val="24"/>
          <w:highlight w:val="none"/>
        </w:rPr>
        <w:t>.3</w:t>
      </w:r>
      <w:r>
        <w:rPr>
          <w:rFonts w:hint="eastAsia" w:ascii="宋体" w:hAnsi="宋体"/>
          <w:sz w:val="24"/>
          <w:highlight w:val="none"/>
        </w:rPr>
        <w:t>采购</w:t>
      </w:r>
      <w:r>
        <w:rPr>
          <w:rFonts w:hint="eastAsia" w:ascii="宋体" w:hAnsi="宋体"/>
          <w:sz w:val="24"/>
          <w:highlight w:val="none"/>
          <w:lang w:eastAsia="zh-CN"/>
        </w:rPr>
        <w:t>单位</w:t>
      </w:r>
      <w:r>
        <w:rPr>
          <w:rFonts w:hint="eastAsia" w:ascii="宋体" w:hAnsi="宋体"/>
          <w:sz w:val="24"/>
          <w:highlight w:val="none"/>
        </w:rPr>
        <w:t>对谈判文件中的采购需求、评审办法、评审项目等重要评审内容做出变更，将同时发布补遗文件进行说明以保证各供应商都能重新下载并用于编制电子响应文件。</w:t>
      </w:r>
    </w:p>
    <w:p>
      <w:pPr>
        <w:spacing w:line="460" w:lineRule="exact"/>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3</w:t>
      </w:r>
      <w:r>
        <w:rPr>
          <w:rFonts w:ascii="宋体" w:hAnsi="宋体"/>
          <w:sz w:val="24"/>
          <w:highlight w:val="none"/>
        </w:rPr>
        <w:t>.4</w:t>
      </w:r>
      <w:r>
        <w:rPr>
          <w:rFonts w:hint="eastAsia" w:ascii="宋体" w:hAnsi="宋体"/>
          <w:sz w:val="24"/>
          <w:highlight w:val="none"/>
        </w:rPr>
        <w:t>供应商在收到采购</w:t>
      </w:r>
      <w:r>
        <w:rPr>
          <w:rFonts w:hint="eastAsia" w:ascii="宋体" w:hAnsi="宋体"/>
          <w:sz w:val="24"/>
          <w:highlight w:val="none"/>
          <w:lang w:eastAsia="zh-CN"/>
        </w:rPr>
        <w:t>单位</w:t>
      </w:r>
      <w:r>
        <w:rPr>
          <w:rFonts w:hint="eastAsia" w:ascii="宋体" w:hAnsi="宋体"/>
          <w:sz w:val="24"/>
          <w:highlight w:val="none"/>
        </w:rPr>
        <w:t>书面答疑和澄清后，请自行登录</w:t>
      </w:r>
      <w:r>
        <w:rPr>
          <w:rFonts w:hint="eastAsia" w:ascii="宋体" w:hAnsi="宋体"/>
          <w:sz w:val="24"/>
          <w:highlight w:val="none"/>
          <w:lang w:val="zh-CN" w:eastAsia="zh-CN"/>
        </w:rPr>
        <w:t>楚雄医药高等专科学校后勤处招标公示栏</w:t>
      </w:r>
      <w:r>
        <w:rPr>
          <w:rFonts w:hint="eastAsia" w:ascii="宋体" w:hAnsi="宋体"/>
          <w:sz w:val="24"/>
          <w:highlight w:val="none"/>
        </w:rPr>
        <w:t>收取修改内容。供应商应在截标时间前随时查看指定采购信息发布媒体（发布媒体详见招标公告）中有关该项目谈判文件的答疑、补遗内容。</w:t>
      </w:r>
    </w:p>
    <w:p>
      <w:pPr>
        <w:spacing w:line="460" w:lineRule="exact"/>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3</w:t>
      </w:r>
      <w:r>
        <w:rPr>
          <w:rFonts w:ascii="宋体" w:hAnsi="宋体"/>
          <w:sz w:val="24"/>
          <w:highlight w:val="none"/>
        </w:rPr>
        <w:t>.5</w:t>
      </w:r>
      <w:r>
        <w:rPr>
          <w:rFonts w:hint="eastAsia" w:ascii="宋体" w:hAnsi="宋体"/>
          <w:sz w:val="24"/>
          <w:highlight w:val="none"/>
        </w:rPr>
        <w:t>谈判文件澄清、谈判文件修改文件内容均以网上发布的文件为准，当谈判文件、谈判文件澄清、谈判文件修改文件内容前后相互矛盾时，以最后发出的为准。</w:t>
      </w:r>
    </w:p>
    <w:p>
      <w:pPr>
        <w:pStyle w:val="17"/>
        <w:tabs>
          <w:tab w:val="center" w:pos="4422"/>
        </w:tabs>
        <w:adjustRightInd w:val="0"/>
        <w:snapToGrid w:val="0"/>
        <w:spacing w:beforeLines="50" w:line="360" w:lineRule="auto"/>
        <w:ind w:firstLine="352" w:firstLineChars="147"/>
        <w:rPr>
          <w:rFonts w:hAnsi="宋体"/>
          <w:sz w:val="24"/>
          <w:szCs w:val="24"/>
          <w:highlight w:val="none"/>
        </w:rPr>
      </w:pPr>
      <w:r>
        <w:rPr>
          <w:rFonts w:hint="eastAsia" w:hAnsi="宋体"/>
          <w:sz w:val="24"/>
          <w:szCs w:val="24"/>
          <w:highlight w:val="none"/>
        </w:rPr>
        <w:t>14.偏离</w:t>
      </w:r>
      <w:r>
        <w:rPr>
          <w:rFonts w:hAnsi="宋体"/>
          <w:sz w:val="24"/>
          <w:szCs w:val="24"/>
          <w:highlight w:val="none"/>
        </w:rPr>
        <w:tab/>
      </w:r>
    </w:p>
    <w:p>
      <w:pPr>
        <w:pStyle w:val="32"/>
        <w:adjustRightInd w:val="0"/>
        <w:snapToGrid w:val="0"/>
        <w:spacing w:before="0" w:beforeAutospacing="0" w:after="0" w:afterAutospacing="0" w:line="360" w:lineRule="auto"/>
        <w:ind w:right="97" w:rightChars="46" w:firstLine="480" w:firstLineChars="200"/>
        <w:jc w:val="both"/>
        <w:rPr>
          <w:rFonts w:cs="Times New Roman"/>
          <w:kern w:val="2"/>
          <w:highlight w:val="none"/>
        </w:rPr>
      </w:pPr>
      <w:r>
        <w:rPr>
          <w:rFonts w:hint="eastAsia" w:cs="Times New Roman"/>
          <w:kern w:val="2"/>
          <w:highlight w:val="none"/>
        </w:rPr>
        <w:t>14.1本条所称偏离为对谈判文件的偏离，即超过、不满足、或不响应谈判文件的要求。偏离分为对谈判文件的实质性要求条款偏离和对谈判文件的一般商务和技术条款（参数）偏离；允许正偏离。</w:t>
      </w:r>
    </w:p>
    <w:p>
      <w:pPr>
        <w:tabs>
          <w:tab w:val="left" w:pos="0"/>
        </w:tabs>
        <w:adjustRightInd w:val="0"/>
        <w:snapToGrid w:val="0"/>
        <w:spacing w:beforeLines="50" w:line="360" w:lineRule="auto"/>
        <w:ind w:firstLine="480" w:firstLineChars="200"/>
        <w:rPr>
          <w:rFonts w:ascii="宋体" w:hAnsi="宋体"/>
          <w:sz w:val="24"/>
          <w:highlight w:val="none"/>
        </w:rPr>
      </w:pPr>
      <w:r>
        <w:rPr>
          <w:rFonts w:hint="eastAsia" w:ascii="宋体" w:hAnsi="宋体"/>
          <w:sz w:val="24"/>
          <w:highlight w:val="none"/>
        </w:rPr>
        <w:t>14.2除法律、法规和规章规定外，谈判文件中用“拒绝”、“不接受”、“无效”、“不得”等文字规定或标注“★”符号的条款为实质性要求条款（即重要条款），对其中任何一条的偏离，在评审时将其视为无效响应。未用上述文字规定或符号标注的条款为非实质性要求条款(即一般条款)。</w:t>
      </w:r>
    </w:p>
    <w:p>
      <w:pPr>
        <w:pStyle w:val="4"/>
        <w:spacing w:before="0" w:line="240" w:lineRule="atLeast"/>
        <w:ind w:left="0" w:firstLine="482" w:firstLineChars="200"/>
        <w:rPr>
          <w:rFonts w:ascii="宋体" w:hAnsi="宋体" w:eastAsia="宋体"/>
          <w:sz w:val="24"/>
          <w:szCs w:val="24"/>
          <w:highlight w:val="none"/>
        </w:rPr>
      </w:pPr>
      <w:bookmarkStart w:id="98" w:name="_Toc60996679"/>
      <w:bookmarkStart w:id="99" w:name="_Toc23972_WPSOffice_Level1"/>
      <w:bookmarkStart w:id="100" w:name="_Toc26127_WPSOffice_Level2"/>
      <w:bookmarkStart w:id="101" w:name="_Toc22352_WPSOffice_Level1"/>
      <w:bookmarkStart w:id="102" w:name="_Toc22665"/>
      <w:bookmarkStart w:id="103" w:name="_Toc15256"/>
      <w:bookmarkStart w:id="104" w:name="_三、投标文件的编制"/>
      <w:r>
        <w:rPr>
          <w:rFonts w:hint="eastAsia" w:ascii="宋体" w:hAnsi="宋体" w:eastAsia="宋体"/>
          <w:sz w:val="24"/>
          <w:szCs w:val="24"/>
          <w:highlight w:val="none"/>
        </w:rPr>
        <w:t>三、响应文件的编制</w:t>
      </w:r>
      <w:bookmarkEnd w:id="98"/>
      <w:bookmarkEnd w:id="99"/>
      <w:bookmarkEnd w:id="100"/>
      <w:bookmarkEnd w:id="101"/>
      <w:bookmarkEnd w:id="102"/>
      <w:bookmarkEnd w:id="103"/>
    </w:p>
    <w:bookmarkEnd w:id="104"/>
    <w:p>
      <w:pPr>
        <w:spacing w:line="460" w:lineRule="exact"/>
        <w:ind w:firstLine="480" w:firstLineChars="200"/>
        <w:rPr>
          <w:rFonts w:ascii="宋体" w:hAnsi="宋体"/>
          <w:sz w:val="24"/>
          <w:highlight w:val="none"/>
        </w:rPr>
      </w:pPr>
      <w:bookmarkStart w:id="105" w:name="_Toc112"/>
      <w:r>
        <w:rPr>
          <w:rFonts w:hint="eastAsia" w:ascii="宋体" w:hAnsi="宋体"/>
          <w:sz w:val="24"/>
          <w:highlight w:val="none"/>
        </w:rPr>
        <w:t>15.响应文件编写注意事项</w:t>
      </w:r>
      <w:bookmarkEnd w:id="105"/>
    </w:p>
    <w:p>
      <w:pPr>
        <w:spacing w:line="460" w:lineRule="exact"/>
        <w:ind w:firstLine="480" w:firstLineChars="200"/>
        <w:rPr>
          <w:rFonts w:ascii="宋体" w:hAnsi="宋体"/>
          <w:sz w:val="24"/>
          <w:highlight w:val="none"/>
        </w:rPr>
      </w:pPr>
      <w:r>
        <w:rPr>
          <w:rFonts w:hint="eastAsia" w:ascii="宋体" w:hAnsi="宋体"/>
          <w:sz w:val="24"/>
          <w:highlight w:val="none"/>
        </w:rPr>
        <w:t>15</w:t>
      </w:r>
      <w:r>
        <w:rPr>
          <w:rFonts w:ascii="宋体" w:hAnsi="宋体"/>
          <w:sz w:val="24"/>
          <w:highlight w:val="none"/>
        </w:rPr>
        <w:t>.1</w:t>
      </w:r>
      <w:r>
        <w:rPr>
          <w:rFonts w:hint="eastAsia" w:ascii="宋体" w:hAnsi="宋体"/>
          <w:sz w:val="24"/>
          <w:highlight w:val="none"/>
        </w:rPr>
        <w:t>本项目所述的响应文件</w:t>
      </w:r>
      <w:r>
        <w:rPr>
          <w:rFonts w:hint="eastAsia" w:ascii="宋体" w:hAnsi="宋体"/>
          <w:sz w:val="24"/>
          <w:highlight w:val="none"/>
          <w:lang w:eastAsia="zh-CN"/>
        </w:rPr>
        <w:t>为纸质</w:t>
      </w:r>
      <w:r>
        <w:rPr>
          <w:rFonts w:hint="eastAsia" w:ascii="宋体" w:hAnsi="宋体"/>
          <w:sz w:val="24"/>
          <w:highlight w:val="none"/>
        </w:rPr>
        <w:t>响应文件。</w:t>
      </w:r>
    </w:p>
    <w:p>
      <w:pPr>
        <w:spacing w:line="460" w:lineRule="exact"/>
        <w:ind w:firstLine="480" w:firstLineChars="200"/>
        <w:rPr>
          <w:rFonts w:ascii="宋体" w:hAnsi="宋体"/>
          <w:sz w:val="24"/>
          <w:highlight w:val="none"/>
        </w:rPr>
      </w:pPr>
      <w:r>
        <w:rPr>
          <w:rFonts w:hint="eastAsia" w:ascii="宋体" w:hAnsi="宋体"/>
          <w:sz w:val="24"/>
          <w:highlight w:val="none"/>
        </w:rPr>
        <w:t>15</w:t>
      </w:r>
      <w:r>
        <w:rPr>
          <w:rFonts w:ascii="宋体" w:hAnsi="宋体"/>
          <w:sz w:val="24"/>
          <w:highlight w:val="none"/>
        </w:rPr>
        <w:t xml:space="preserve">.2 </w:t>
      </w:r>
      <w:r>
        <w:rPr>
          <w:rFonts w:hint="eastAsia" w:ascii="宋体" w:hAnsi="宋体"/>
          <w:sz w:val="24"/>
          <w:highlight w:val="none"/>
        </w:rPr>
        <w:t>供应商应仔细阅读谈判文件，在完全了解采购的内容、技术性能要求（见第五章“</w:t>
      </w:r>
      <w:r>
        <w:rPr>
          <w:rFonts w:hint="eastAsia" w:ascii="宋体" w:hAnsi="宋体"/>
          <w:sz w:val="24"/>
          <w:highlight w:val="none"/>
          <w:lang w:eastAsia="zh-CN"/>
        </w:rPr>
        <w:t>服务内容及要求</w:t>
      </w:r>
      <w:r>
        <w:rPr>
          <w:rFonts w:hint="eastAsia" w:ascii="宋体" w:hAnsi="宋体"/>
          <w:sz w:val="24"/>
          <w:highlight w:val="none"/>
        </w:rPr>
        <w:t>”）和商务条件后，编写响应文件。如果没有按照谈判文件要求提交全部响应文件或者资料，没有对谈判文件的实质性要求和条件作出响应的可能导致该投标无效。</w:t>
      </w:r>
    </w:p>
    <w:p>
      <w:pPr>
        <w:spacing w:line="460" w:lineRule="exact"/>
        <w:ind w:firstLine="480" w:firstLineChars="200"/>
        <w:rPr>
          <w:rFonts w:ascii="宋体" w:hAnsi="宋体"/>
          <w:sz w:val="24"/>
          <w:highlight w:val="none"/>
        </w:rPr>
      </w:pPr>
      <w:r>
        <w:rPr>
          <w:rFonts w:hint="eastAsia" w:ascii="宋体" w:hAnsi="宋体"/>
          <w:sz w:val="24"/>
          <w:highlight w:val="none"/>
        </w:rPr>
        <w:t>15</w:t>
      </w:r>
      <w:r>
        <w:rPr>
          <w:rFonts w:ascii="宋体" w:hAnsi="宋体"/>
          <w:sz w:val="24"/>
          <w:highlight w:val="none"/>
        </w:rPr>
        <w:t xml:space="preserve">.3 </w:t>
      </w:r>
      <w:r>
        <w:rPr>
          <w:rFonts w:hint="eastAsia" w:ascii="宋体" w:hAnsi="宋体"/>
          <w:sz w:val="24"/>
          <w:highlight w:val="none"/>
        </w:rPr>
        <w:t>对谈判文件提出的实质性要求和条件作出响应是指供应商必须对谈判文件中标明的实质性要求和条件的技术参数及性能配置、数量、售后服务、合同主要条款及其他要求等内容作出满足或者优于原要求和条件的承诺。</w:t>
      </w:r>
    </w:p>
    <w:p>
      <w:pPr>
        <w:spacing w:line="460" w:lineRule="exact"/>
        <w:ind w:firstLine="480" w:firstLineChars="200"/>
        <w:rPr>
          <w:rFonts w:ascii="宋体" w:hAnsi="宋体"/>
          <w:sz w:val="24"/>
          <w:highlight w:val="none"/>
        </w:rPr>
      </w:pPr>
      <w:r>
        <w:rPr>
          <w:rFonts w:hint="eastAsia" w:ascii="宋体" w:hAnsi="宋体"/>
          <w:sz w:val="24"/>
          <w:highlight w:val="none"/>
        </w:rPr>
        <w:t>15</w:t>
      </w:r>
      <w:r>
        <w:rPr>
          <w:rFonts w:ascii="宋体" w:hAnsi="宋体"/>
          <w:sz w:val="24"/>
          <w:highlight w:val="none"/>
        </w:rPr>
        <w:t xml:space="preserve">.4 </w:t>
      </w:r>
      <w:r>
        <w:rPr>
          <w:rFonts w:hint="eastAsia" w:ascii="宋体" w:hAnsi="宋体"/>
          <w:sz w:val="24"/>
          <w:highlight w:val="none"/>
        </w:rPr>
        <w:t>谈判文件中的实质性要求和条件详见“供应商须知前附表”。</w:t>
      </w:r>
    </w:p>
    <w:p>
      <w:pPr>
        <w:spacing w:line="460" w:lineRule="exact"/>
        <w:ind w:firstLine="480" w:firstLineChars="200"/>
        <w:rPr>
          <w:rFonts w:ascii="宋体" w:hAnsi="宋体"/>
          <w:sz w:val="24"/>
          <w:highlight w:val="none"/>
        </w:rPr>
      </w:pPr>
      <w:r>
        <w:rPr>
          <w:rFonts w:hint="eastAsia" w:ascii="宋体" w:hAnsi="宋体"/>
          <w:sz w:val="24"/>
          <w:highlight w:val="none"/>
        </w:rPr>
        <w:t>15</w:t>
      </w:r>
      <w:r>
        <w:rPr>
          <w:rFonts w:ascii="宋体" w:hAnsi="宋体"/>
          <w:sz w:val="24"/>
          <w:highlight w:val="none"/>
        </w:rPr>
        <w:t>.5</w:t>
      </w:r>
      <w:r>
        <w:rPr>
          <w:rFonts w:hint="eastAsia" w:ascii="宋体" w:hAnsi="宋体"/>
          <w:sz w:val="24"/>
          <w:highlight w:val="none"/>
        </w:rPr>
        <w:t xml:space="preserve"> 电子响应文件全部采用</w:t>
      </w:r>
      <w:r>
        <w:rPr>
          <w:rFonts w:hint="eastAsia" w:ascii="宋体" w:hAnsi="宋体"/>
          <w:sz w:val="24"/>
          <w:highlight w:val="none"/>
          <w:lang w:eastAsia="zh-CN"/>
        </w:rPr>
        <w:t>纸质</w:t>
      </w:r>
      <w:r>
        <w:rPr>
          <w:rFonts w:hint="eastAsia" w:ascii="宋体" w:hAnsi="宋体"/>
          <w:sz w:val="24"/>
          <w:highlight w:val="none"/>
        </w:rPr>
        <w:t>文档。编制要求见供应商须知正文附件《响应文件编制及报送要求》。</w:t>
      </w:r>
    </w:p>
    <w:p>
      <w:pPr>
        <w:spacing w:line="460" w:lineRule="exact"/>
        <w:ind w:firstLine="480" w:firstLineChars="200"/>
        <w:rPr>
          <w:rFonts w:ascii="宋体" w:hAnsi="宋体"/>
          <w:sz w:val="24"/>
          <w:highlight w:val="none"/>
        </w:rPr>
      </w:pPr>
      <w:bookmarkStart w:id="106" w:name="_Toc20073"/>
      <w:r>
        <w:rPr>
          <w:rFonts w:hint="eastAsia" w:ascii="宋体" w:hAnsi="宋体"/>
          <w:sz w:val="24"/>
          <w:highlight w:val="none"/>
        </w:rPr>
        <w:t>16.投标的语言及计量单位</w:t>
      </w:r>
      <w:bookmarkEnd w:id="106"/>
    </w:p>
    <w:p>
      <w:pPr>
        <w:spacing w:line="460" w:lineRule="exact"/>
        <w:ind w:firstLine="480" w:firstLineChars="200"/>
        <w:rPr>
          <w:rFonts w:ascii="宋体" w:hAnsi="宋体"/>
          <w:sz w:val="24"/>
          <w:highlight w:val="none"/>
        </w:rPr>
      </w:pPr>
      <w:r>
        <w:rPr>
          <w:rFonts w:hint="eastAsia" w:ascii="宋体" w:hAnsi="宋体"/>
          <w:sz w:val="24"/>
          <w:highlight w:val="none"/>
        </w:rPr>
        <w:t>16</w:t>
      </w:r>
      <w:r>
        <w:rPr>
          <w:rFonts w:ascii="宋体" w:hAnsi="宋体"/>
          <w:sz w:val="24"/>
          <w:highlight w:val="none"/>
        </w:rPr>
        <w:t xml:space="preserve">.1 </w:t>
      </w:r>
      <w:r>
        <w:rPr>
          <w:rFonts w:hint="eastAsia" w:ascii="宋体" w:hAnsi="宋体"/>
          <w:sz w:val="24"/>
          <w:highlight w:val="none"/>
        </w:rPr>
        <w:t>供应商的响应文件以及供应商就有关投标的所有来往函电统一使用中文（特别规定除外）。</w:t>
      </w:r>
    </w:p>
    <w:p>
      <w:pPr>
        <w:spacing w:line="460" w:lineRule="exact"/>
        <w:ind w:firstLine="480" w:firstLineChars="200"/>
        <w:rPr>
          <w:rFonts w:ascii="宋体" w:hAnsi="宋体"/>
          <w:sz w:val="24"/>
          <w:highlight w:val="none"/>
        </w:rPr>
      </w:pPr>
      <w:r>
        <w:rPr>
          <w:rFonts w:hint="eastAsia" w:ascii="宋体" w:hAnsi="宋体"/>
          <w:sz w:val="24"/>
          <w:highlight w:val="none"/>
        </w:rPr>
        <w:t>16</w:t>
      </w:r>
      <w:r>
        <w:rPr>
          <w:rFonts w:ascii="宋体" w:hAnsi="宋体"/>
          <w:sz w:val="24"/>
          <w:highlight w:val="none"/>
        </w:rPr>
        <w:t xml:space="preserve">.2 </w:t>
      </w:r>
      <w:r>
        <w:rPr>
          <w:rFonts w:hint="eastAsia" w:ascii="宋体" w:hAnsi="宋体"/>
          <w:sz w:val="24"/>
          <w:highlight w:val="none"/>
        </w:rPr>
        <w:t>响应文件中使用的计量单位除谈判文件中有特殊规定外，一律使用中华人民共和国法定计量单位。</w:t>
      </w:r>
    </w:p>
    <w:p>
      <w:pPr>
        <w:spacing w:line="460" w:lineRule="exact"/>
        <w:ind w:firstLine="480" w:firstLineChars="200"/>
        <w:rPr>
          <w:rFonts w:ascii="宋体" w:hAnsi="宋体"/>
          <w:sz w:val="24"/>
          <w:highlight w:val="none"/>
        </w:rPr>
      </w:pPr>
      <w:bookmarkStart w:id="107" w:name="_Toc609"/>
      <w:r>
        <w:rPr>
          <w:rFonts w:hint="eastAsia" w:ascii="宋体" w:hAnsi="宋体"/>
          <w:sz w:val="24"/>
          <w:highlight w:val="none"/>
        </w:rPr>
        <w:t>17.响应文件构成</w:t>
      </w:r>
      <w:bookmarkEnd w:id="107"/>
    </w:p>
    <w:p>
      <w:pPr>
        <w:spacing w:line="460" w:lineRule="exact"/>
        <w:ind w:firstLine="480" w:firstLineChars="200"/>
        <w:rPr>
          <w:rFonts w:ascii="宋体" w:hAnsi="宋体"/>
          <w:sz w:val="24"/>
          <w:highlight w:val="none"/>
        </w:rPr>
      </w:pPr>
      <w:r>
        <w:rPr>
          <w:rFonts w:hint="eastAsia" w:ascii="宋体" w:hAnsi="宋体"/>
          <w:sz w:val="24"/>
          <w:highlight w:val="none"/>
        </w:rPr>
        <w:t>供应商同时投多个包（若分包时）的，响应文件应按包分别编制，按供应商应按第四章“响应文件格式”要求的格式完整地填写。</w:t>
      </w:r>
    </w:p>
    <w:p>
      <w:pPr>
        <w:spacing w:line="460" w:lineRule="exact"/>
        <w:ind w:firstLine="480" w:firstLineChars="200"/>
        <w:rPr>
          <w:rFonts w:ascii="宋体" w:hAnsi="宋体"/>
          <w:sz w:val="24"/>
          <w:highlight w:val="none"/>
        </w:rPr>
      </w:pPr>
      <w:bookmarkStart w:id="108" w:name="_Toc8444"/>
      <w:r>
        <w:rPr>
          <w:rFonts w:hint="eastAsia" w:ascii="宋体" w:hAnsi="宋体"/>
          <w:sz w:val="24"/>
          <w:highlight w:val="none"/>
        </w:rPr>
        <w:t>18.投标报价</w:t>
      </w:r>
      <w:bookmarkEnd w:id="108"/>
    </w:p>
    <w:p>
      <w:pPr>
        <w:spacing w:line="460" w:lineRule="exact"/>
        <w:ind w:firstLine="480" w:firstLineChars="200"/>
        <w:rPr>
          <w:rFonts w:ascii="宋体" w:hAnsi="宋体"/>
          <w:sz w:val="24"/>
          <w:highlight w:val="none"/>
        </w:rPr>
      </w:pPr>
      <w:bookmarkStart w:id="109" w:name="_Toc32040"/>
      <w:r>
        <w:rPr>
          <w:rFonts w:hint="eastAsia" w:ascii="宋体" w:hAnsi="宋体"/>
          <w:sz w:val="24"/>
          <w:highlight w:val="none"/>
        </w:rPr>
        <w:t>18.1 供应商应按谈判文件规定的要求和范围，以人民币进行报价。</w:t>
      </w:r>
    </w:p>
    <w:p>
      <w:pPr>
        <w:spacing w:line="460" w:lineRule="exact"/>
        <w:ind w:firstLine="480" w:firstLineChars="200"/>
        <w:rPr>
          <w:rFonts w:ascii="宋体" w:hAnsi="宋体"/>
          <w:sz w:val="24"/>
          <w:highlight w:val="none"/>
        </w:rPr>
      </w:pPr>
      <w:r>
        <w:rPr>
          <w:rFonts w:hint="eastAsia" w:ascii="宋体" w:hAnsi="宋体"/>
          <w:sz w:val="24"/>
          <w:highlight w:val="none"/>
        </w:rPr>
        <w:t>18.2除规定允许提交备选方案外，供应商对每种货物及服务只允许有一个报价，不接受选择性报价，否则，在评审时将其视为无效响应报价。</w:t>
      </w:r>
    </w:p>
    <w:p>
      <w:pPr>
        <w:spacing w:line="460" w:lineRule="exact"/>
        <w:ind w:firstLine="480" w:firstLineChars="200"/>
        <w:rPr>
          <w:rFonts w:ascii="宋体" w:hAnsi="宋体"/>
          <w:sz w:val="24"/>
          <w:highlight w:val="none"/>
        </w:rPr>
      </w:pPr>
      <w:r>
        <w:rPr>
          <w:rFonts w:hint="eastAsia" w:ascii="宋体" w:hAnsi="宋体"/>
          <w:sz w:val="24"/>
          <w:highlight w:val="none"/>
        </w:rPr>
        <w:t>18.3供应商的报价不得超过采购项目预算。</w:t>
      </w:r>
    </w:p>
    <w:bookmarkEnd w:id="109"/>
    <w:p>
      <w:pPr>
        <w:spacing w:line="460" w:lineRule="exact"/>
        <w:ind w:firstLine="480" w:firstLineChars="200"/>
        <w:rPr>
          <w:rFonts w:ascii="宋体" w:hAnsi="宋体"/>
          <w:sz w:val="24"/>
          <w:highlight w:val="none"/>
        </w:rPr>
      </w:pPr>
      <w:bookmarkStart w:id="110" w:name="_Toc17723"/>
      <w:r>
        <w:rPr>
          <w:rFonts w:hint="eastAsia" w:ascii="宋体" w:hAnsi="宋体"/>
          <w:sz w:val="24"/>
          <w:highlight w:val="none"/>
        </w:rPr>
        <w:t>19.投标有效期</w:t>
      </w:r>
      <w:bookmarkEnd w:id="110"/>
    </w:p>
    <w:p>
      <w:pPr>
        <w:spacing w:line="460" w:lineRule="exact"/>
        <w:ind w:firstLine="480" w:firstLineChars="200"/>
        <w:rPr>
          <w:rFonts w:ascii="宋体" w:hAnsi="宋体"/>
          <w:sz w:val="24"/>
          <w:highlight w:val="none"/>
        </w:rPr>
      </w:pPr>
      <w:r>
        <w:rPr>
          <w:rFonts w:hint="eastAsia" w:ascii="宋体" w:hAnsi="宋体"/>
          <w:sz w:val="24"/>
          <w:highlight w:val="none"/>
        </w:rPr>
        <w:t>19.1 响应文件有效期为60日历天，在此期间响应文件对供应商具有法律约束力，响应文件有效期从规定的递交响应文件截止时间起计算。响应文件有效期不足的将被视为无效响应。</w:t>
      </w:r>
    </w:p>
    <w:p>
      <w:pPr>
        <w:spacing w:line="460" w:lineRule="exact"/>
        <w:ind w:firstLine="480" w:firstLineChars="200"/>
        <w:rPr>
          <w:rFonts w:ascii="宋体" w:hAnsi="宋体"/>
          <w:sz w:val="24"/>
          <w:highlight w:val="none"/>
        </w:rPr>
      </w:pPr>
      <w:r>
        <w:rPr>
          <w:rFonts w:hint="eastAsia" w:ascii="宋体" w:hAnsi="宋体"/>
          <w:sz w:val="24"/>
          <w:highlight w:val="none"/>
        </w:rPr>
        <w:t>19</w:t>
      </w:r>
      <w:r>
        <w:rPr>
          <w:rFonts w:ascii="宋体" w:hAnsi="宋体"/>
          <w:sz w:val="24"/>
          <w:highlight w:val="none"/>
        </w:rPr>
        <w:t xml:space="preserve">.2 </w:t>
      </w:r>
      <w:r>
        <w:rPr>
          <w:rFonts w:hint="eastAsia" w:ascii="宋体" w:hAnsi="宋体"/>
          <w:sz w:val="24"/>
          <w:highlight w:val="none"/>
        </w:rPr>
        <w:t>因特殊情况需要延长投标有效期的，采购人以书面形式通知所有供应商延长投标有效期。供应商同意延长的，应相应延长其谈判保证金的有效期，但不得要求或被允许修改或撤销其响应文件；供应商拒绝延长的，其投标失效，但供应商有权收回其谈判保证金。</w:t>
      </w:r>
    </w:p>
    <w:p>
      <w:pPr>
        <w:spacing w:line="460" w:lineRule="exact"/>
        <w:ind w:firstLine="480" w:firstLineChars="200"/>
        <w:rPr>
          <w:rFonts w:ascii="宋体" w:hAnsi="宋体"/>
          <w:sz w:val="24"/>
          <w:highlight w:val="none"/>
        </w:rPr>
      </w:pPr>
      <w:bookmarkStart w:id="111" w:name="_Toc18796"/>
      <w:r>
        <w:rPr>
          <w:rFonts w:hint="eastAsia" w:ascii="宋体" w:hAnsi="宋体"/>
          <w:sz w:val="24"/>
          <w:highlight w:val="none"/>
        </w:rPr>
        <w:t>20.响应文件的签署要求</w:t>
      </w:r>
      <w:bookmarkEnd w:id="111"/>
    </w:p>
    <w:p>
      <w:pPr>
        <w:spacing w:line="460" w:lineRule="exact"/>
        <w:ind w:firstLine="480" w:firstLineChars="200"/>
        <w:rPr>
          <w:rFonts w:ascii="宋体" w:hAnsi="宋体"/>
          <w:sz w:val="24"/>
          <w:highlight w:val="none"/>
        </w:rPr>
      </w:pPr>
      <w:r>
        <w:rPr>
          <w:rFonts w:hint="eastAsia" w:ascii="宋体" w:hAnsi="宋体"/>
          <w:sz w:val="24"/>
          <w:highlight w:val="none"/>
        </w:rPr>
        <w:t>20</w:t>
      </w:r>
      <w:r>
        <w:rPr>
          <w:rFonts w:ascii="宋体" w:hAnsi="宋体"/>
          <w:sz w:val="24"/>
          <w:highlight w:val="none"/>
        </w:rPr>
        <w:t xml:space="preserve">.1 </w:t>
      </w:r>
      <w:r>
        <w:rPr>
          <w:rFonts w:hint="eastAsia" w:ascii="宋体" w:hAnsi="宋体"/>
          <w:sz w:val="24"/>
          <w:highlight w:val="none"/>
        </w:rPr>
        <w:t>响应文件的签章和签名要求：按照响应文件格式，响应文件需要企业、法定代表人签章及签名。</w:t>
      </w:r>
    </w:p>
    <w:p>
      <w:pPr>
        <w:spacing w:line="460" w:lineRule="exact"/>
        <w:ind w:firstLine="480" w:firstLineChars="200"/>
        <w:rPr>
          <w:rFonts w:ascii="宋体" w:hAnsi="宋体"/>
          <w:sz w:val="24"/>
          <w:highlight w:val="none"/>
        </w:rPr>
      </w:pPr>
      <w:r>
        <w:rPr>
          <w:rFonts w:hint="eastAsia" w:ascii="宋体" w:hAnsi="宋体"/>
          <w:sz w:val="24"/>
          <w:highlight w:val="none"/>
        </w:rPr>
        <w:t>20</w:t>
      </w:r>
      <w:r>
        <w:rPr>
          <w:rFonts w:ascii="宋体" w:hAnsi="宋体"/>
          <w:sz w:val="24"/>
          <w:highlight w:val="none"/>
        </w:rPr>
        <w:t>.2</w:t>
      </w:r>
      <w:r>
        <w:rPr>
          <w:rFonts w:hint="eastAsia" w:ascii="宋体" w:hAnsi="宋体"/>
          <w:sz w:val="24"/>
          <w:highlight w:val="none"/>
        </w:rPr>
        <w:t>因复印、扫描、拍摄模糊，字迹潦草，表达不清，未按要求填写而导致非唯一理解，造成未实质性响应谈判文件的响应文件将会被认定为无效的投标。</w:t>
      </w:r>
    </w:p>
    <w:p>
      <w:pPr>
        <w:spacing w:line="460" w:lineRule="exact"/>
        <w:ind w:firstLine="480" w:firstLineChars="200"/>
        <w:rPr>
          <w:rFonts w:ascii="宋体" w:hAnsi="宋体"/>
          <w:sz w:val="24"/>
          <w:highlight w:val="none"/>
        </w:rPr>
      </w:pPr>
      <w:bookmarkStart w:id="112" w:name="_Toc4359"/>
      <w:r>
        <w:rPr>
          <w:rFonts w:hint="eastAsia" w:ascii="宋体" w:hAnsi="宋体"/>
          <w:sz w:val="24"/>
          <w:highlight w:val="none"/>
        </w:rPr>
        <w:t>21.谈判保证金</w:t>
      </w:r>
      <w:bookmarkEnd w:id="112"/>
    </w:p>
    <w:p>
      <w:pPr>
        <w:spacing w:line="460" w:lineRule="exact"/>
        <w:ind w:firstLine="480" w:firstLineChars="200"/>
        <w:rPr>
          <w:rFonts w:ascii="宋体" w:hAnsi="宋体"/>
          <w:sz w:val="24"/>
          <w:highlight w:val="none"/>
        </w:rPr>
      </w:pPr>
      <w:r>
        <w:rPr>
          <w:rFonts w:hint="eastAsia" w:ascii="宋体" w:hAnsi="宋体"/>
          <w:sz w:val="24"/>
          <w:highlight w:val="none"/>
        </w:rPr>
        <w:t>21</w:t>
      </w:r>
      <w:r>
        <w:rPr>
          <w:rFonts w:ascii="宋体" w:hAnsi="宋体"/>
          <w:sz w:val="24"/>
          <w:highlight w:val="none"/>
        </w:rPr>
        <w:t xml:space="preserve">.1 </w:t>
      </w:r>
      <w:r>
        <w:rPr>
          <w:rFonts w:hint="eastAsia" w:ascii="宋体" w:hAnsi="宋体"/>
          <w:sz w:val="24"/>
          <w:highlight w:val="none"/>
        </w:rPr>
        <w:t>谈判保证金为人民币，供应商应在递交响应文件截止时间以前按“供应商须知前附表”规定的方式及金额交纳谈判保证金，并在投标有效期内保持有效。</w:t>
      </w:r>
    </w:p>
    <w:p>
      <w:pPr>
        <w:spacing w:line="460" w:lineRule="exact"/>
        <w:ind w:firstLine="480" w:firstLineChars="200"/>
        <w:rPr>
          <w:rFonts w:ascii="宋体" w:hAnsi="宋体"/>
          <w:sz w:val="24"/>
          <w:highlight w:val="none"/>
        </w:rPr>
      </w:pPr>
      <w:r>
        <w:rPr>
          <w:rFonts w:hint="eastAsia" w:ascii="宋体" w:hAnsi="宋体"/>
          <w:sz w:val="24"/>
          <w:highlight w:val="none"/>
        </w:rPr>
        <w:t>21</w:t>
      </w:r>
      <w:r>
        <w:rPr>
          <w:rFonts w:ascii="宋体" w:hAnsi="宋体"/>
          <w:sz w:val="24"/>
          <w:highlight w:val="none"/>
        </w:rPr>
        <w:t>.</w:t>
      </w:r>
      <w:r>
        <w:rPr>
          <w:rFonts w:hint="eastAsia" w:ascii="宋体" w:hAnsi="宋体"/>
          <w:sz w:val="24"/>
          <w:highlight w:val="none"/>
        </w:rPr>
        <w:t>2未成交供应商的保证金，未成交供应商的保证金在评标结束后当场退还。成交供应商的保证金，自采购合同签订完毕并按规定办理合同归档手续后</w:t>
      </w:r>
      <w:r>
        <w:rPr>
          <w:rFonts w:ascii="宋体" w:hAnsi="宋体"/>
          <w:sz w:val="24"/>
          <w:highlight w:val="none"/>
        </w:rPr>
        <w:t>5</w:t>
      </w:r>
      <w:r>
        <w:rPr>
          <w:rFonts w:hint="eastAsia" w:ascii="宋体" w:hAnsi="宋体"/>
          <w:sz w:val="24"/>
          <w:highlight w:val="none"/>
        </w:rPr>
        <w:t>个工作日内，无息退还至供应商交纳保证金的账户。</w:t>
      </w:r>
    </w:p>
    <w:p>
      <w:pPr>
        <w:spacing w:line="460" w:lineRule="exact"/>
        <w:ind w:firstLine="480" w:firstLineChars="200"/>
        <w:rPr>
          <w:rFonts w:ascii="宋体" w:hAnsi="宋体"/>
          <w:sz w:val="24"/>
          <w:highlight w:val="none"/>
        </w:rPr>
      </w:pPr>
      <w:r>
        <w:rPr>
          <w:rFonts w:hint="eastAsia" w:ascii="宋体" w:hAnsi="宋体"/>
          <w:sz w:val="24"/>
          <w:highlight w:val="none"/>
        </w:rPr>
        <w:t>21</w:t>
      </w:r>
      <w:r>
        <w:rPr>
          <w:rFonts w:ascii="宋体" w:hAnsi="宋体"/>
          <w:sz w:val="24"/>
          <w:highlight w:val="none"/>
        </w:rPr>
        <w:t>.</w:t>
      </w:r>
      <w:r>
        <w:rPr>
          <w:rFonts w:hint="eastAsia" w:ascii="宋体" w:hAnsi="宋体"/>
          <w:sz w:val="24"/>
          <w:highlight w:val="none"/>
        </w:rPr>
        <w:t>3有下列情形之一的，谈判保证金不予退还：</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）供应商在提交响应文件截止时间后撤回响应文件的；</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）供应商在响应文件中提供虚假材料的；</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）除因不可抗力或谈判文件认可的情形以外，成交供应商不与采购人签订合同的；</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4</w:t>
      </w:r>
      <w:r>
        <w:rPr>
          <w:rFonts w:hint="eastAsia" w:ascii="宋体" w:hAnsi="宋体"/>
          <w:sz w:val="24"/>
          <w:highlight w:val="none"/>
        </w:rPr>
        <w:t>）供应商与采购人、其他供应商或者采购代理机构恶意串通的；</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5</w:t>
      </w:r>
      <w:r>
        <w:rPr>
          <w:rFonts w:hint="eastAsia" w:ascii="宋体" w:hAnsi="宋体"/>
          <w:sz w:val="24"/>
          <w:highlight w:val="none"/>
        </w:rPr>
        <w:t>）谈判文件规定的其他情形。</w:t>
      </w:r>
    </w:p>
    <w:p>
      <w:pPr>
        <w:pStyle w:val="4"/>
        <w:spacing w:before="0" w:line="240" w:lineRule="atLeast"/>
        <w:ind w:left="0" w:firstLine="482" w:firstLineChars="200"/>
        <w:rPr>
          <w:rFonts w:ascii="宋体" w:hAnsi="宋体" w:eastAsia="宋体"/>
          <w:sz w:val="24"/>
          <w:szCs w:val="24"/>
          <w:highlight w:val="none"/>
        </w:rPr>
      </w:pPr>
      <w:bookmarkStart w:id="113" w:name="_Toc60996680"/>
      <w:bookmarkStart w:id="114" w:name="_Toc17346_WPSOffice_Level1"/>
      <w:bookmarkStart w:id="115" w:name="_Toc16736"/>
      <w:bookmarkStart w:id="116" w:name="_Toc25217_WPSOffice_Level2"/>
      <w:bookmarkStart w:id="117" w:name="_Toc19285_WPSOffice_Level1"/>
      <w:bookmarkStart w:id="118" w:name="_Toc20287"/>
      <w:bookmarkStart w:id="119" w:name="_四、投标文件的提交"/>
      <w:r>
        <w:rPr>
          <w:rFonts w:hint="eastAsia" w:ascii="宋体" w:hAnsi="宋体" w:eastAsia="宋体"/>
          <w:sz w:val="24"/>
          <w:szCs w:val="24"/>
          <w:highlight w:val="none"/>
        </w:rPr>
        <w:t>四、响应文件的提交</w:t>
      </w:r>
      <w:bookmarkEnd w:id="113"/>
      <w:bookmarkEnd w:id="114"/>
      <w:bookmarkEnd w:id="115"/>
      <w:bookmarkEnd w:id="116"/>
      <w:bookmarkEnd w:id="117"/>
      <w:bookmarkEnd w:id="118"/>
    </w:p>
    <w:bookmarkEnd w:id="119"/>
    <w:p>
      <w:pPr>
        <w:spacing w:line="460" w:lineRule="exact"/>
        <w:ind w:firstLine="480" w:firstLineChars="200"/>
        <w:rPr>
          <w:rFonts w:hint="eastAsia" w:ascii="宋体" w:hAnsi="宋体"/>
          <w:sz w:val="24"/>
          <w:highlight w:val="none"/>
        </w:rPr>
      </w:pPr>
      <w:bookmarkStart w:id="120" w:name="_Toc20426"/>
      <w:r>
        <w:rPr>
          <w:rFonts w:hint="eastAsia" w:ascii="宋体" w:hAnsi="宋体"/>
          <w:sz w:val="24"/>
          <w:highlight w:val="none"/>
        </w:rPr>
        <w:t>22.响应文件的密封与提交</w:t>
      </w:r>
      <w:bookmarkEnd w:id="120"/>
    </w:p>
    <w:p>
      <w:pPr>
        <w:spacing w:line="460" w:lineRule="exact"/>
        <w:ind w:firstLine="480" w:firstLineChars="200"/>
        <w:rPr>
          <w:rFonts w:hint="eastAsia" w:ascii="宋体" w:hAnsi="宋体"/>
          <w:sz w:val="24"/>
          <w:highlight w:val="none"/>
        </w:rPr>
      </w:pPr>
      <w:r>
        <w:rPr>
          <w:rFonts w:hint="eastAsia" w:ascii="宋体" w:hAnsi="宋体"/>
          <w:sz w:val="24"/>
          <w:highlight w:val="none"/>
        </w:rPr>
        <w:t>22.1申请文件的装订要求：申请文件的正本与副本应分别装订成册，密封于一个包内，不得采用活页夹。申请文件应编制目录，并且逐页标注连续页码，否则，采购人对由于申请文件装订松散而造成的丢失或其他后果不承担任何责任。</w:t>
      </w:r>
    </w:p>
    <w:p>
      <w:pPr>
        <w:spacing w:line="460" w:lineRule="exact"/>
        <w:ind w:firstLine="480" w:firstLineChars="200"/>
        <w:rPr>
          <w:rFonts w:hint="eastAsia" w:ascii="宋体" w:hAnsi="宋体"/>
          <w:sz w:val="24"/>
          <w:highlight w:val="none"/>
        </w:rPr>
      </w:pPr>
      <w:r>
        <w:rPr>
          <w:rFonts w:hint="eastAsia" w:ascii="宋体" w:hAnsi="宋体"/>
          <w:sz w:val="24"/>
          <w:highlight w:val="none"/>
        </w:rPr>
        <w:t>22.2在申请文件密封袋上应：</w:t>
      </w:r>
    </w:p>
    <w:p>
      <w:pPr>
        <w:spacing w:line="460" w:lineRule="exact"/>
        <w:ind w:firstLine="480" w:firstLineChars="200"/>
        <w:rPr>
          <w:rFonts w:hint="eastAsia" w:ascii="宋体" w:hAnsi="宋体"/>
          <w:sz w:val="24"/>
          <w:highlight w:val="none"/>
        </w:rPr>
      </w:pPr>
      <w:r>
        <w:rPr>
          <w:rFonts w:hint="eastAsia" w:ascii="宋体" w:hAnsi="宋体"/>
          <w:sz w:val="24"/>
          <w:highlight w:val="none"/>
        </w:rPr>
        <w:t>22.2.1写明项目名称；</w:t>
      </w:r>
    </w:p>
    <w:p>
      <w:pPr>
        <w:spacing w:line="460" w:lineRule="exact"/>
        <w:ind w:firstLine="480" w:firstLineChars="200"/>
        <w:rPr>
          <w:rFonts w:hint="eastAsia" w:ascii="宋体" w:hAnsi="宋体"/>
          <w:sz w:val="24"/>
          <w:highlight w:val="none"/>
        </w:rPr>
      </w:pPr>
      <w:r>
        <w:rPr>
          <w:rFonts w:hint="eastAsia" w:ascii="宋体" w:hAnsi="宋体"/>
          <w:sz w:val="24"/>
          <w:highlight w:val="none"/>
        </w:rPr>
        <w:t>22.2.2注明下列识别标志：</w:t>
      </w:r>
    </w:p>
    <w:p>
      <w:pPr>
        <w:spacing w:line="460" w:lineRule="exact"/>
        <w:ind w:firstLine="480" w:firstLineChars="200"/>
        <w:rPr>
          <w:rFonts w:hint="eastAsia" w:ascii="宋体" w:hAnsi="宋体"/>
          <w:sz w:val="24"/>
          <w:highlight w:val="none"/>
        </w:rPr>
      </w:pPr>
      <w:r>
        <w:rPr>
          <w:rFonts w:hint="eastAsia" w:ascii="宋体" w:hAnsi="宋体"/>
          <w:sz w:val="24"/>
          <w:highlight w:val="none"/>
        </w:rPr>
        <w:t>（1）谈判项目编号；</w:t>
      </w:r>
    </w:p>
    <w:p>
      <w:pPr>
        <w:spacing w:line="460" w:lineRule="exact"/>
        <w:ind w:firstLine="480" w:firstLineChars="200"/>
        <w:rPr>
          <w:rFonts w:hint="eastAsia" w:ascii="宋体" w:hAnsi="宋体"/>
          <w:sz w:val="24"/>
          <w:highlight w:val="none"/>
        </w:rPr>
      </w:pPr>
      <w:r>
        <w:rPr>
          <w:rFonts w:hint="eastAsia" w:ascii="宋体" w:hAnsi="宋体"/>
          <w:sz w:val="24"/>
          <w:highlight w:val="none"/>
        </w:rPr>
        <w:t>（2）（项目名称）申请文件；</w:t>
      </w:r>
    </w:p>
    <w:p>
      <w:pPr>
        <w:spacing w:line="460" w:lineRule="exact"/>
        <w:ind w:firstLine="480" w:firstLineChars="200"/>
        <w:rPr>
          <w:rFonts w:hint="eastAsia" w:ascii="宋体" w:hAnsi="宋体"/>
          <w:sz w:val="24"/>
          <w:highlight w:val="none"/>
        </w:rPr>
      </w:pPr>
      <w:r>
        <w:rPr>
          <w:rFonts w:hint="eastAsia" w:ascii="宋体" w:hAnsi="宋体"/>
          <w:sz w:val="24"/>
          <w:highlight w:val="none"/>
        </w:rPr>
        <w:t>（3）</w:t>
      </w:r>
      <w:r>
        <w:rPr>
          <w:rFonts w:hint="eastAsia" w:ascii="宋体" w:hAnsi="宋体"/>
          <w:sz w:val="24"/>
          <w:highlight w:val="none"/>
          <w:lang w:eastAsia="zh-CN"/>
        </w:rPr>
        <w:t>供应商</w:t>
      </w:r>
      <w:r>
        <w:rPr>
          <w:rFonts w:hint="eastAsia" w:ascii="宋体" w:hAnsi="宋体"/>
          <w:sz w:val="24"/>
          <w:highlight w:val="none"/>
        </w:rPr>
        <w:t>名称（盖章）；</w:t>
      </w:r>
    </w:p>
    <w:p>
      <w:pPr>
        <w:spacing w:line="460" w:lineRule="exact"/>
        <w:ind w:firstLine="480" w:firstLineChars="200"/>
        <w:rPr>
          <w:rFonts w:hint="eastAsia" w:ascii="宋体" w:hAnsi="宋体"/>
          <w:sz w:val="24"/>
          <w:highlight w:val="none"/>
        </w:rPr>
      </w:pPr>
      <w:r>
        <w:rPr>
          <w:rFonts w:hint="eastAsia" w:ascii="宋体" w:hAnsi="宋体"/>
          <w:sz w:val="24"/>
          <w:highlight w:val="none"/>
        </w:rPr>
        <w:t>（4）法定代表人或其委托代理人（签字）；</w:t>
      </w:r>
    </w:p>
    <w:p>
      <w:pPr>
        <w:spacing w:line="460" w:lineRule="exact"/>
        <w:ind w:firstLine="480" w:firstLineChars="200"/>
        <w:rPr>
          <w:rFonts w:hint="eastAsia" w:ascii="宋体" w:hAnsi="宋体"/>
          <w:sz w:val="24"/>
          <w:highlight w:val="none"/>
        </w:rPr>
      </w:pPr>
      <w:r>
        <w:rPr>
          <w:rFonts w:hint="eastAsia" w:ascii="宋体" w:hAnsi="宋体"/>
          <w:sz w:val="24"/>
          <w:highlight w:val="none"/>
        </w:rPr>
        <w:t>（5）</w:t>
      </w:r>
      <w:r>
        <w:rPr>
          <w:rFonts w:hint="eastAsia" w:ascii="宋体" w:hAnsi="宋体"/>
          <w:sz w:val="24"/>
          <w:highlight w:val="none"/>
          <w:lang w:val="en-US" w:eastAsia="zh-CN"/>
        </w:rPr>
        <w:t>2021</w:t>
      </w:r>
      <w:r>
        <w:rPr>
          <w:rFonts w:hint="eastAsia" w:ascii="宋体" w:hAnsi="宋体"/>
          <w:sz w:val="24"/>
          <w:highlight w:val="none"/>
        </w:rPr>
        <w:t>年</w:t>
      </w:r>
      <w:r>
        <w:rPr>
          <w:rFonts w:hint="eastAsia" w:ascii="宋体" w:hAnsi="宋体"/>
          <w:sz w:val="24"/>
          <w:highlight w:val="none"/>
          <w:lang w:val="en-US" w:eastAsia="zh-CN"/>
        </w:rPr>
        <w:t>07</w:t>
      </w:r>
      <w:r>
        <w:rPr>
          <w:rFonts w:hint="eastAsia" w:ascii="宋体" w:hAnsi="宋体"/>
          <w:sz w:val="24"/>
          <w:highlight w:val="none"/>
        </w:rPr>
        <w:t xml:space="preserve"> 月</w:t>
      </w:r>
      <w:r>
        <w:rPr>
          <w:rFonts w:hint="eastAsia" w:ascii="宋体" w:hAnsi="宋体"/>
          <w:sz w:val="24"/>
          <w:highlight w:val="none"/>
          <w:lang w:val="en-US" w:eastAsia="zh-CN"/>
        </w:rPr>
        <w:t>22</w:t>
      </w:r>
      <w:r>
        <w:rPr>
          <w:rFonts w:hint="eastAsia" w:ascii="宋体" w:hAnsi="宋体"/>
          <w:sz w:val="24"/>
          <w:highlight w:val="none"/>
        </w:rPr>
        <w:t>日</w:t>
      </w:r>
      <w:r>
        <w:rPr>
          <w:rFonts w:hint="eastAsia" w:ascii="宋体" w:hAnsi="宋体"/>
          <w:sz w:val="24"/>
          <w:highlight w:val="none"/>
          <w:lang w:val="en-US" w:eastAsia="zh-CN"/>
        </w:rPr>
        <w:t>10</w:t>
      </w:r>
      <w:r>
        <w:rPr>
          <w:rFonts w:hint="eastAsia" w:ascii="宋体" w:hAnsi="宋体"/>
          <w:sz w:val="24"/>
          <w:highlight w:val="none"/>
        </w:rPr>
        <w:t>午</w:t>
      </w:r>
      <w:r>
        <w:rPr>
          <w:rFonts w:hint="eastAsia" w:ascii="宋体" w:hAnsi="宋体"/>
          <w:sz w:val="24"/>
          <w:highlight w:val="none"/>
          <w:lang w:val="en-US" w:eastAsia="zh-CN"/>
        </w:rPr>
        <w:t>30</w:t>
      </w:r>
      <w:r>
        <w:rPr>
          <w:rFonts w:hint="eastAsia" w:ascii="宋体" w:hAnsi="宋体"/>
          <w:sz w:val="24"/>
          <w:highlight w:val="none"/>
        </w:rPr>
        <w:t>时竞争性谈判，此时间以前不得开封。</w:t>
      </w:r>
    </w:p>
    <w:p>
      <w:pPr>
        <w:spacing w:line="460" w:lineRule="exact"/>
        <w:ind w:firstLine="480" w:firstLineChars="200"/>
        <w:rPr>
          <w:rFonts w:hint="eastAsia" w:ascii="宋体" w:hAnsi="宋体"/>
          <w:sz w:val="24"/>
          <w:highlight w:val="none"/>
        </w:rPr>
      </w:pPr>
      <w:r>
        <w:rPr>
          <w:rFonts w:hint="eastAsia" w:ascii="宋体" w:hAnsi="宋体"/>
          <w:sz w:val="24"/>
          <w:highlight w:val="none"/>
        </w:rPr>
        <w:t>22.3如果申请文件没有按本</w:t>
      </w:r>
      <w:r>
        <w:rPr>
          <w:rFonts w:hint="eastAsia" w:ascii="宋体" w:hAnsi="宋体"/>
          <w:sz w:val="24"/>
          <w:highlight w:val="none"/>
          <w:lang w:eastAsia="zh-CN"/>
        </w:rPr>
        <w:t>谈判</w:t>
      </w:r>
      <w:r>
        <w:rPr>
          <w:rFonts w:hint="eastAsia" w:ascii="宋体" w:hAnsi="宋体"/>
          <w:sz w:val="24"/>
          <w:highlight w:val="none"/>
        </w:rPr>
        <w:t>须知第22.1款、第22.2款的规定装订和加写标记及密封，采购人将不承担申请文件提前开封的责任。对由此造成提前开封的申请文件将予以拒绝，并退还给</w:t>
      </w:r>
      <w:r>
        <w:rPr>
          <w:rFonts w:hint="eastAsia" w:ascii="宋体" w:hAnsi="宋体"/>
          <w:sz w:val="24"/>
          <w:highlight w:val="none"/>
          <w:lang w:eastAsia="zh-CN"/>
        </w:rPr>
        <w:t>供应商</w:t>
      </w:r>
      <w:r>
        <w:rPr>
          <w:rFonts w:hint="eastAsia" w:ascii="宋体" w:hAnsi="宋体"/>
          <w:sz w:val="24"/>
          <w:highlight w:val="none"/>
        </w:rPr>
        <w:t>。</w:t>
      </w:r>
    </w:p>
    <w:p>
      <w:pPr>
        <w:spacing w:line="460" w:lineRule="exact"/>
        <w:ind w:firstLine="480" w:firstLineChars="200"/>
        <w:rPr>
          <w:rFonts w:hAnsi="宋体"/>
          <w:sz w:val="24"/>
          <w:szCs w:val="24"/>
          <w:highlight w:val="none"/>
        </w:rPr>
      </w:pPr>
      <w:r>
        <w:rPr>
          <w:rFonts w:hint="eastAsia" w:ascii="宋体" w:hAnsi="宋体"/>
          <w:sz w:val="24"/>
          <w:highlight w:val="none"/>
        </w:rPr>
        <w:t>22.4所有申请文件的外层密封的封口处应加盖密封章。</w:t>
      </w:r>
    </w:p>
    <w:p>
      <w:pPr>
        <w:pStyle w:val="4"/>
        <w:spacing w:before="0" w:line="240" w:lineRule="atLeast"/>
        <w:ind w:left="0" w:firstLine="482" w:firstLineChars="200"/>
        <w:rPr>
          <w:rFonts w:hint="eastAsia" w:ascii="宋体" w:hAnsi="宋体" w:eastAsia="宋体"/>
          <w:sz w:val="24"/>
          <w:szCs w:val="24"/>
          <w:highlight w:val="none"/>
        </w:rPr>
      </w:pPr>
      <w:bookmarkStart w:id="121" w:name="_Toc69565538"/>
      <w:bookmarkStart w:id="122" w:name="_Toc17391"/>
      <w:bookmarkStart w:id="123" w:name="_Toc12452"/>
      <w:r>
        <w:rPr>
          <w:rFonts w:hint="eastAsia" w:ascii="宋体" w:hAnsi="宋体" w:eastAsia="宋体"/>
          <w:sz w:val="24"/>
          <w:szCs w:val="24"/>
          <w:highlight w:val="none"/>
        </w:rPr>
        <w:t>五</w:t>
      </w:r>
      <w:r>
        <w:rPr>
          <w:rFonts w:hint="eastAsia" w:ascii="宋体" w:hAnsi="宋体" w:eastAsia="宋体"/>
          <w:sz w:val="24"/>
          <w:szCs w:val="24"/>
          <w:highlight w:val="none"/>
          <w:lang w:eastAsia="zh-CN"/>
        </w:rPr>
        <w:t>、响应</w:t>
      </w:r>
      <w:r>
        <w:rPr>
          <w:rFonts w:hint="eastAsia" w:ascii="宋体" w:hAnsi="宋体" w:eastAsia="宋体"/>
          <w:sz w:val="24"/>
          <w:szCs w:val="24"/>
          <w:highlight w:val="none"/>
        </w:rPr>
        <w:t>文件开启</w:t>
      </w:r>
      <w:bookmarkEnd w:id="121"/>
      <w:bookmarkEnd w:id="122"/>
      <w:bookmarkEnd w:id="123"/>
    </w:p>
    <w:p>
      <w:pPr>
        <w:pStyle w:val="17"/>
        <w:adjustRightInd w:val="0"/>
        <w:spacing w:line="4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23. 开启</w:t>
      </w:r>
    </w:p>
    <w:p>
      <w:pPr>
        <w:adjustRightInd w:val="0"/>
        <w:spacing w:line="440" w:lineRule="exact"/>
        <w:ind w:firstLine="460" w:firstLineChars="192"/>
        <w:rPr>
          <w:rFonts w:ascii="宋体" w:hAnsi="宋体" w:cs="宋体"/>
          <w:sz w:val="24"/>
          <w:szCs w:val="24"/>
          <w:highlight w:val="none"/>
        </w:rPr>
      </w:pPr>
      <w:r>
        <w:rPr>
          <w:rFonts w:hint="eastAsia" w:ascii="宋体" w:hAnsi="宋体" w:cs="宋体"/>
          <w:sz w:val="24"/>
          <w:szCs w:val="24"/>
          <w:highlight w:val="none"/>
          <w:lang w:val="en-US" w:eastAsia="zh-CN"/>
        </w:rPr>
        <w:t>23</w:t>
      </w:r>
      <w:r>
        <w:rPr>
          <w:rFonts w:hint="eastAsia" w:ascii="宋体" w:hAnsi="宋体" w:cs="宋体"/>
          <w:sz w:val="24"/>
          <w:szCs w:val="24"/>
          <w:highlight w:val="none"/>
        </w:rPr>
        <w:t>.1采购人按本须知前附表所规定的时间和地点开始谈判，并邀请所有</w:t>
      </w:r>
      <w:r>
        <w:rPr>
          <w:rFonts w:hint="eastAsia" w:ascii="宋体" w:hAnsi="宋体" w:cs="宋体"/>
          <w:sz w:val="24"/>
          <w:szCs w:val="24"/>
          <w:highlight w:val="none"/>
          <w:lang w:eastAsia="zh-CN"/>
        </w:rPr>
        <w:t>供应商</w:t>
      </w:r>
      <w:r>
        <w:rPr>
          <w:rFonts w:hint="eastAsia" w:ascii="宋体" w:hAnsi="宋体" w:cs="宋体"/>
          <w:sz w:val="24"/>
          <w:szCs w:val="24"/>
          <w:highlight w:val="none"/>
        </w:rPr>
        <w:t>参加，</w:t>
      </w:r>
      <w:r>
        <w:rPr>
          <w:rFonts w:hint="eastAsia" w:ascii="宋体" w:hAnsi="宋体" w:cs="宋体"/>
          <w:sz w:val="24"/>
          <w:szCs w:val="24"/>
          <w:highlight w:val="none"/>
          <w:lang w:eastAsia="zh-CN"/>
        </w:rPr>
        <w:t>供应商</w:t>
      </w:r>
      <w:r>
        <w:rPr>
          <w:rFonts w:hint="eastAsia" w:ascii="宋体" w:hAnsi="宋体" w:cs="宋体"/>
          <w:sz w:val="24"/>
          <w:szCs w:val="24"/>
          <w:highlight w:val="none"/>
        </w:rPr>
        <w:t xml:space="preserve">法定代表人或授权代理人必须到谈判现场。 </w:t>
      </w:r>
    </w:p>
    <w:p>
      <w:pPr>
        <w:adjustRightInd w:val="0"/>
        <w:spacing w:line="440" w:lineRule="exact"/>
        <w:ind w:firstLine="460" w:firstLineChars="192"/>
        <w:rPr>
          <w:rFonts w:ascii="宋体" w:hAnsi="宋体" w:cs="宋体"/>
          <w:sz w:val="24"/>
          <w:szCs w:val="24"/>
          <w:highlight w:val="none"/>
        </w:rPr>
      </w:pPr>
      <w:r>
        <w:rPr>
          <w:rFonts w:hint="eastAsia" w:ascii="宋体" w:hAnsi="宋体" w:cs="宋体"/>
          <w:sz w:val="24"/>
          <w:szCs w:val="24"/>
          <w:highlight w:val="none"/>
          <w:lang w:val="en-US" w:eastAsia="zh-CN"/>
        </w:rPr>
        <w:t>23</w:t>
      </w:r>
      <w:r>
        <w:rPr>
          <w:rFonts w:hint="eastAsia" w:ascii="宋体" w:hAnsi="宋体" w:cs="宋体"/>
          <w:sz w:val="24"/>
          <w:szCs w:val="24"/>
          <w:highlight w:val="none"/>
        </w:rPr>
        <w:t>.2 谈判程序</w:t>
      </w:r>
    </w:p>
    <w:p>
      <w:pPr>
        <w:adjustRightInd w:val="0"/>
        <w:spacing w:line="440" w:lineRule="exact"/>
        <w:ind w:firstLine="460" w:firstLineChars="192"/>
        <w:rPr>
          <w:rFonts w:hint="eastAsia" w:ascii="宋体" w:hAnsi="宋体" w:cs="宋体"/>
          <w:sz w:val="24"/>
          <w:szCs w:val="24"/>
          <w:highlight w:val="none"/>
        </w:rPr>
      </w:pPr>
      <w:r>
        <w:rPr>
          <w:rFonts w:hint="eastAsia" w:ascii="宋体" w:hAnsi="宋体" w:cs="宋体"/>
          <w:sz w:val="24"/>
          <w:szCs w:val="24"/>
          <w:highlight w:val="none"/>
        </w:rPr>
        <w:t>（1）谈判会议由</w:t>
      </w:r>
      <w:r>
        <w:rPr>
          <w:rFonts w:hint="eastAsia" w:ascii="宋体" w:hAnsi="宋体" w:cs="宋体"/>
          <w:sz w:val="24"/>
          <w:szCs w:val="24"/>
          <w:highlight w:val="none"/>
          <w:lang w:eastAsia="zh-CN"/>
        </w:rPr>
        <w:t>楚雄医药高等专科学校招标采购工作人员</w:t>
      </w:r>
      <w:r>
        <w:rPr>
          <w:rFonts w:hint="eastAsia" w:ascii="宋体" w:hAnsi="宋体" w:cs="宋体"/>
          <w:sz w:val="24"/>
          <w:szCs w:val="24"/>
          <w:highlight w:val="none"/>
        </w:rPr>
        <w:t>主持，所有</w:t>
      </w:r>
      <w:r>
        <w:rPr>
          <w:rFonts w:hint="eastAsia" w:ascii="宋体" w:hAnsi="宋体" w:cs="宋体"/>
          <w:sz w:val="24"/>
          <w:szCs w:val="24"/>
          <w:highlight w:val="none"/>
          <w:lang w:eastAsia="zh-CN"/>
        </w:rPr>
        <w:t>供应商</w:t>
      </w:r>
      <w:r>
        <w:rPr>
          <w:rFonts w:hint="eastAsia" w:ascii="宋体" w:hAnsi="宋体" w:cs="宋体"/>
          <w:sz w:val="24"/>
          <w:szCs w:val="24"/>
          <w:highlight w:val="none"/>
        </w:rPr>
        <w:t>应准时参加。</w:t>
      </w:r>
    </w:p>
    <w:p>
      <w:pPr>
        <w:adjustRightInd w:val="0"/>
        <w:spacing w:line="440" w:lineRule="exact"/>
        <w:ind w:firstLine="460" w:firstLineChars="192"/>
        <w:rPr>
          <w:rFonts w:ascii="宋体" w:hAnsi="宋体" w:cs="宋体"/>
          <w:sz w:val="24"/>
          <w:szCs w:val="24"/>
          <w:highlight w:val="none"/>
        </w:rPr>
      </w:pPr>
      <w:r>
        <w:rPr>
          <w:rFonts w:hint="eastAsia" w:ascii="宋体" w:hAnsi="宋体" w:cs="宋体"/>
          <w:sz w:val="24"/>
          <w:szCs w:val="24"/>
          <w:highlight w:val="none"/>
        </w:rPr>
        <w:t>（2）宣布谈判纪律</w:t>
      </w:r>
    </w:p>
    <w:p>
      <w:pPr>
        <w:adjustRightInd w:val="0"/>
        <w:spacing w:line="440" w:lineRule="exact"/>
        <w:ind w:firstLine="460" w:firstLineChars="192"/>
        <w:rPr>
          <w:rFonts w:ascii="宋体" w:hAnsi="宋体" w:cs="宋体"/>
          <w:sz w:val="24"/>
          <w:szCs w:val="24"/>
          <w:highlight w:val="none"/>
        </w:rPr>
      </w:pPr>
      <w:r>
        <w:rPr>
          <w:rFonts w:hint="eastAsia" w:ascii="宋体" w:hAnsi="宋体" w:cs="宋体"/>
          <w:sz w:val="24"/>
          <w:szCs w:val="24"/>
          <w:highlight w:val="none"/>
        </w:rPr>
        <w:t>（3）宣布参会单位及代表</w:t>
      </w:r>
    </w:p>
    <w:p>
      <w:pPr>
        <w:adjustRightInd w:val="0"/>
        <w:spacing w:line="440" w:lineRule="exact"/>
        <w:ind w:firstLine="460" w:firstLineChars="192"/>
        <w:rPr>
          <w:rFonts w:ascii="宋体" w:hAnsi="宋体" w:cs="宋体"/>
          <w:sz w:val="24"/>
          <w:szCs w:val="24"/>
          <w:highlight w:val="none"/>
        </w:rPr>
      </w:pPr>
      <w:r>
        <w:rPr>
          <w:rFonts w:hint="eastAsia" w:ascii="宋体" w:hAnsi="宋体" w:cs="宋体"/>
          <w:sz w:val="24"/>
          <w:szCs w:val="24"/>
          <w:highlight w:val="none"/>
        </w:rPr>
        <w:t>（4）采购人公布采购控制价</w:t>
      </w:r>
    </w:p>
    <w:p>
      <w:pPr>
        <w:adjustRightInd w:val="0"/>
        <w:spacing w:line="440" w:lineRule="exact"/>
        <w:ind w:firstLine="460" w:firstLineChars="192"/>
        <w:rPr>
          <w:rFonts w:ascii="宋体" w:hAnsi="宋体" w:cs="宋体"/>
          <w:sz w:val="24"/>
          <w:szCs w:val="24"/>
          <w:highlight w:val="none"/>
        </w:rPr>
      </w:pPr>
      <w:r>
        <w:rPr>
          <w:rFonts w:hint="eastAsia" w:ascii="宋体" w:hAnsi="宋体" w:cs="宋体"/>
          <w:sz w:val="24"/>
          <w:szCs w:val="24"/>
          <w:highlight w:val="none"/>
        </w:rPr>
        <w:t>（5）申请文件密封检查顺序：按照所有</w:t>
      </w:r>
      <w:r>
        <w:rPr>
          <w:rFonts w:hint="eastAsia" w:ascii="宋体" w:hAnsi="宋体" w:cs="宋体"/>
          <w:sz w:val="24"/>
          <w:szCs w:val="24"/>
          <w:highlight w:val="none"/>
          <w:lang w:eastAsia="zh-CN"/>
        </w:rPr>
        <w:t>供应商</w:t>
      </w:r>
      <w:r>
        <w:rPr>
          <w:rFonts w:hint="eastAsia" w:ascii="宋体" w:hAnsi="宋体" w:cs="宋体"/>
          <w:sz w:val="24"/>
          <w:szCs w:val="24"/>
          <w:highlight w:val="none"/>
        </w:rPr>
        <w:t>的递交顺序对申请文件进行密封检查。</w:t>
      </w:r>
    </w:p>
    <w:p>
      <w:pPr>
        <w:adjustRightInd w:val="0"/>
        <w:spacing w:line="440" w:lineRule="exact"/>
        <w:ind w:firstLine="460" w:firstLineChars="192"/>
        <w:rPr>
          <w:rFonts w:ascii="宋体" w:hAnsi="宋体" w:cs="宋体"/>
          <w:sz w:val="24"/>
          <w:szCs w:val="24"/>
          <w:highlight w:val="none"/>
        </w:rPr>
      </w:pPr>
      <w:r>
        <w:rPr>
          <w:rFonts w:hint="eastAsia" w:ascii="宋体" w:hAnsi="宋体" w:cs="宋体"/>
          <w:sz w:val="24"/>
          <w:szCs w:val="24"/>
          <w:highlight w:val="none"/>
          <w:lang w:val="en-US" w:eastAsia="zh-CN"/>
        </w:rPr>
        <w:t>23</w:t>
      </w:r>
      <w:r>
        <w:rPr>
          <w:rFonts w:hint="eastAsia" w:ascii="宋体" w:hAnsi="宋体" w:cs="宋体"/>
          <w:sz w:val="24"/>
          <w:szCs w:val="24"/>
          <w:highlight w:val="none"/>
        </w:rPr>
        <w:t>.3 采购人将在“</w:t>
      </w:r>
      <w:r>
        <w:rPr>
          <w:rFonts w:hint="eastAsia" w:ascii="宋体" w:hAnsi="宋体"/>
          <w:sz w:val="24"/>
          <w:highlight w:val="none"/>
        </w:rPr>
        <w:t>供应商须知前附表</w:t>
      </w:r>
      <w:r>
        <w:rPr>
          <w:rFonts w:hint="eastAsia" w:ascii="宋体" w:hAnsi="宋体" w:cs="宋体"/>
          <w:sz w:val="24"/>
          <w:szCs w:val="24"/>
          <w:highlight w:val="none"/>
        </w:rPr>
        <w:t>”规定的时间和地点进行谈判，</w:t>
      </w:r>
      <w:r>
        <w:rPr>
          <w:rFonts w:hint="eastAsia" w:ascii="宋体" w:hAnsi="宋体" w:cs="宋体"/>
          <w:sz w:val="24"/>
          <w:szCs w:val="24"/>
          <w:highlight w:val="none"/>
          <w:lang w:eastAsia="zh-CN"/>
        </w:rPr>
        <w:t>供应商</w:t>
      </w:r>
      <w:r>
        <w:rPr>
          <w:rFonts w:hint="eastAsia" w:ascii="宋体" w:hAnsi="宋体" w:cs="宋体"/>
          <w:sz w:val="24"/>
          <w:szCs w:val="24"/>
          <w:highlight w:val="none"/>
        </w:rPr>
        <w:t>的法定代表人或其委托代理人应参加谈判会，如</w:t>
      </w:r>
      <w:r>
        <w:rPr>
          <w:rFonts w:hint="eastAsia" w:ascii="宋体" w:hAnsi="宋体" w:cs="宋体"/>
          <w:sz w:val="24"/>
          <w:szCs w:val="24"/>
          <w:highlight w:val="none"/>
          <w:lang w:eastAsia="zh-CN"/>
        </w:rPr>
        <w:t>供应商</w:t>
      </w:r>
      <w:r>
        <w:rPr>
          <w:rFonts w:hint="eastAsia" w:ascii="宋体" w:hAnsi="宋体" w:cs="宋体"/>
          <w:sz w:val="24"/>
          <w:szCs w:val="24"/>
          <w:highlight w:val="none"/>
        </w:rPr>
        <w:t>未出席谈判会由此产生的后果由</w:t>
      </w:r>
      <w:r>
        <w:rPr>
          <w:rFonts w:hint="eastAsia" w:ascii="宋体" w:hAnsi="宋体" w:cs="宋体"/>
          <w:sz w:val="24"/>
          <w:szCs w:val="24"/>
          <w:highlight w:val="none"/>
          <w:lang w:eastAsia="zh-CN"/>
        </w:rPr>
        <w:t>供应商</w:t>
      </w:r>
      <w:r>
        <w:rPr>
          <w:rFonts w:hint="eastAsia" w:ascii="宋体" w:hAnsi="宋体" w:cs="宋体"/>
          <w:sz w:val="24"/>
          <w:szCs w:val="24"/>
          <w:highlight w:val="none"/>
        </w:rPr>
        <w:t>自行负责。</w:t>
      </w:r>
    </w:p>
    <w:p>
      <w:pPr>
        <w:adjustRightInd w:val="0"/>
        <w:spacing w:line="440" w:lineRule="exact"/>
        <w:ind w:firstLine="460" w:firstLineChars="192"/>
        <w:rPr>
          <w:rFonts w:ascii="宋体" w:hAnsi="宋体" w:cs="宋体"/>
          <w:sz w:val="24"/>
          <w:szCs w:val="24"/>
          <w:highlight w:val="none"/>
        </w:rPr>
      </w:pPr>
      <w:r>
        <w:rPr>
          <w:rFonts w:hint="eastAsia" w:ascii="宋体" w:hAnsi="宋体" w:cs="宋体"/>
          <w:sz w:val="24"/>
          <w:szCs w:val="24"/>
          <w:highlight w:val="none"/>
          <w:lang w:val="en-US" w:eastAsia="zh-CN"/>
        </w:rPr>
        <w:t>23</w:t>
      </w:r>
      <w:r>
        <w:rPr>
          <w:rFonts w:hint="eastAsia" w:ascii="宋体" w:hAnsi="宋体" w:cs="宋体"/>
          <w:sz w:val="24"/>
          <w:szCs w:val="24"/>
          <w:highlight w:val="none"/>
        </w:rPr>
        <w:t>.4谈判工作人员将做谈判记录，</w:t>
      </w:r>
      <w:r>
        <w:rPr>
          <w:rFonts w:hint="eastAsia" w:ascii="宋体" w:hAnsi="宋体" w:cs="宋体"/>
          <w:sz w:val="24"/>
          <w:szCs w:val="24"/>
          <w:highlight w:val="none"/>
          <w:lang w:eastAsia="zh-CN"/>
        </w:rPr>
        <w:t>供应商</w:t>
      </w:r>
      <w:r>
        <w:rPr>
          <w:rFonts w:hint="eastAsia" w:ascii="宋体" w:hAnsi="宋体" w:cs="宋体"/>
          <w:sz w:val="24"/>
          <w:szCs w:val="24"/>
          <w:highlight w:val="none"/>
        </w:rPr>
        <w:t>对须签字确认。</w:t>
      </w:r>
    </w:p>
    <w:p>
      <w:pPr>
        <w:adjustRightInd w:val="0"/>
        <w:spacing w:line="440" w:lineRule="exact"/>
        <w:ind w:firstLine="460" w:firstLineChars="192"/>
        <w:rPr>
          <w:rFonts w:ascii="宋体" w:hAnsi="宋体" w:cs="宋体"/>
          <w:sz w:val="24"/>
          <w:szCs w:val="24"/>
          <w:highlight w:val="none"/>
        </w:rPr>
      </w:pPr>
      <w:r>
        <w:rPr>
          <w:rFonts w:hint="eastAsia" w:ascii="宋体" w:hAnsi="宋体" w:cs="宋体"/>
          <w:sz w:val="24"/>
          <w:szCs w:val="24"/>
          <w:highlight w:val="none"/>
          <w:lang w:val="en-US" w:eastAsia="zh-CN"/>
        </w:rPr>
        <w:t>23</w:t>
      </w:r>
      <w:r>
        <w:rPr>
          <w:rFonts w:hint="eastAsia" w:ascii="宋体" w:hAnsi="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供应商</w:t>
      </w:r>
      <w:r>
        <w:rPr>
          <w:rFonts w:hint="eastAsia" w:ascii="宋体" w:hAnsi="宋体" w:cs="宋体"/>
          <w:sz w:val="24"/>
          <w:szCs w:val="24"/>
          <w:highlight w:val="none"/>
        </w:rPr>
        <w:t>对谈判有异议的，应当在谈判现场提出，采购人应当当场作出答复，并制作记录。</w:t>
      </w:r>
    </w:p>
    <w:p>
      <w:pPr>
        <w:adjustRightInd w:val="0"/>
        <w:snapToGrid w:val="0"/>
        <w:spacing w:beforeLines="50" w:line="360" w:lineRule="auto"/>
        <w:ind w:left="657" w:leftChars="200" w:hanging="237" w:hangingChars="99"/>
        <w:rPr>
          <w:rFonts w:ascii="宋体" w:hAnsi="宋体"/>
          <w:b/>
          <w:kern w:val="0"/>
          <w:sz w:val="24"/>
          <w:highlight w:val="none"/>
        </w:rPr>
      </w:pPr>
      <w:r>
        <w:rPr>
          <w:rFonts w:hint="eastAsia" w:ascii="宋体" w:hAnsi="宋体"/>
          <w:sz w:val="24"/>
          <w:highlight w:val="none"/>
        </w:rPr>
        <w:t>六、</w:t>
      </w:r>
      <w:r>
        <w:rPr>
          <w:rFonts w:hint="eastAsia" w:ascii="宋体" w:hAnsi="宋体"/>
          <w:b/>
          <w:kern w:val="0"/>
          <w:sz w:val="24"/>
          <w:highlight w:val="none"/>
        </w:rPr>
        <w:t>响应文件的评审与谈判</w:t>
      </w:r>
    </w:p>
    <w:p>
      <w:pPr>
        <w:spacing w:line="460" w:lineRule="exact"/>
        <w:ind w:firstLine="480" w:firstLineChars="200"/>
        <w:rPr>
          <w:rFonts w:ascii="宋体" w:hAnsi="宋体"/>
          <w:sz w:val="24"/>
          <w:highlight w:val="none"/>
        </w:rPr>
      </w:pPr>
      <w:r>
        <w:rPr>
          <w:rFonts w:hint="eastAsia" w:ascii="宋体" w:hAnsi="宋体"/>
          <w:sz w:val="24"/>
          <w:highlight w:val="none"/>
        </w:rPr>
        <w:t>24.谈判小组组建：</w:t>
      </w:r>
    </w:p>
    <w:p>
      <w:pPr>
        <w:spacing w:line="460" w:lineRule="exact"/>
        <w:ind w:firstLine="480" w:firstLineChars="200"/>
        <w:rPr>
          <w:rFonts w:ascii="宋体" w:hAnsi="宋体"/>
          <w:sz w:val="24"/>
          <w:highlight w:val="none"/>
        </w:rPr>
      </w:pPr>
      <w:r>
        <w:rPr>
          <w:rFonts w:hint="eastAsia" w:ascii="宋体" w:hAnsi="宋体"/>
          <w:sz w:val="24"/>
          <w:highlight w:val="none"/>
        </w:rPr>
        <w:t>24.1采购人与集采机构将根据采购项目的特点依法组建谈判小组，其成员由评审专家和采购人代表共3人以上单数组成，其中评审专家人数不得少于竞争性谈判小组成员总数的2/3。谈判小组负责对供应商资格进行核查；对响应文件进行审查；谈判、对报价进行评价以及推荐或确定成交供应商。</w:t>
      </w:r>
    </w:p>
    <w:p>
      <w:pPr>
        <w:spacing w:line="460" w:lineRule="exact"/>
        <w:ind w:firstLine="480" w:firstLineChars="200"/>
        <w:rPr>
          <w:rFonts w:ascii="宋体" w:hAnsi="宋体"/>
          <w:sz w:val="24"/>
          <w:highlight w:val="none"/>
        </w:rPr>
      </w:pPr>
      <w:r>
        <w:rPr>
          <w:rFonts w:hint="eastAsia" w:ascii="宋体" w:hAnsi="宋体"/>
          <w:sz w:val="24"/>
          <w:highlight w:val="none"/>
        </w:rPr>
        <w:t>24.2.谈判小组成员与供应商存在利害关系的，应当回避。</w:t>
      </w:r>
    </w:p>
    <w:p>
      <w:pPr>
        <w:spacing w:line="460" w:lineRule="exact"/>
        <w:ind w:firstLine="480" w:firstLineChars="200"/>
        <w:rPr>
          <w:rFonts w:ascii="宋体" w:hAnsi="宋体"/>
          <w:sz w:val="24"/>
          <w:highlight w:val="none"/>
        </w:rPr>
      </w:pPr>
      <w:r>
        <w:rPr>
          <w:rFonts w:hint="eastAsia" w:ascii="宋体" w:hAnsi="宋体"/>
          <w:sz w:val="24"/>
          <w:highlight w:val="none"/>
        </w:rPr>
        <w:t>25.评审</w:t>
      </w:r>
    </w:p>
    <w:p>
      <w:pPr>
        <w:spacing w:line="460" w:lineRule="exact"/>
        <w:ind w:firstLine="480" w:firstLineChars="200"/>
        <w:rPr>
          <w:rFonts w:ascii="宋体" w:hAnsi="宋体"/>
          <w:sz w:val="24"/>
          <w:highlight w:val="none"/>
        </w:rPr>
      </w:pPr>
      <w:r>
        <w:rPr>
          <w:rFonts w:hint="eastAsia" w:ascii="宋体" w:hAnsi="宋体"/>
          <w:sz w:val="24"/>
          <w:highlight w:val="none"/>
        </w:rPr>
        <w:t>25.1评审原则</w:t>
      </w:r>
    </w:p>
    <w:p>
      <w:pPr>
        <w:spacing w:line="460" w:lineRule="exact"/>
        <w:ind w:firstLine="480" w:firstLineChars="200"/>
        <w:rPr>
          <w:rFonts w:ascii="宋体" w:hAnsi="宋体"/>
          <w:sz w:val="24"/>
          <w:highlight w:val="none"/>
        </w:rPr>
      </w:pPr>
      <w:r>
        <w:rPr>
          <w:rFonts w:hint="eastAsia" w:ascii="宋体" w:hAnsi="宋体"/>
          <w:sz w:val="24"/>
          <w:highlight w:val="none"/>
        </w:rPr>
        <w:t>评审活动遵循公平、公正、科学和择优的原则。</w:t>
      </w:r>
    </w:p>
    <w:p>
      <w:pPr>
        <w:spacing w:line="460" w:lineRule="exact"/>
        <w:ind w:firstLine="480" w:firstLineChars="200"/>
        <w:rPr>
          <w:rFonts w:ascii="宋体" w:hAnsi="宋体"/>
          <w:sz w:val="24"/>
          <w:highlight w:val="none"/>
        </w:rPr>
      </w:pPr>
      <w:r>
        <w:rPr>
          <w:rFonts w:hint="eastAsia" w:ascii="宋体" w:hAnsi="宋体"/>
          <w:sz w:val="24"/>
          <w:highlight w:val="none"/>
        </w:rPr>
        <w:t>25.2评审程序</w:t>
      </w:r>
    </w:p>
    <w:p>
      <w:pPr>
        <w:spacing w:line="460" w:lineRule="exact"/>
        <w:ind w:firstLine="480" w:firstLineChars="200"/>
        <w:rPr>
          <w:rFonts w:ascii="宋体" w:hAnsi="宋体"/>
          <w:sz w:val="24"/>
          <w:highlight w:val="none"/>
        </w:rPr>
      </w:pPr>
      <w:r>
        <w:rPr>
          <w:rFonts w:hint="eastAsia" w:ascii="宋体" w:hAnsi="宋体"/>
          <w:sz w:val="24"/>
          <w:highlight w:val="none"/>
        </w:rPr>
        <w:t>25.2.1供应商的资格审查</w:t>
      </w:r>
    </w:p>
    <w:p>
      <w:pPr>
        <w:spacing w:line="460" w:lineRule="exact"/>
        <w:ind w:firstLine="480" w:firstLineChars="200"/>
        <w:rPr>
          <w:rFonts w:ascii="宋体" w:hAnsi="宋体"/>
          <w:sz w:val="24"/>
          <w:highlight w:val="none"/>
        </w:rPr>
      </w:pPr>
      <w:r>
        <w:rPr>
          <w:rFonts w:hint="eastAsia" w:ascii="宋体" w:hAnsi="宋体"/>
          <w:sz w:val="24"/>
          <w:highlight w:val="none"/>
        </w:rPr>
        <w:t>谈判小组</w:t>
      </w:r>
      <w:r>
        <w:rPr>
          <w:rFonts w:ascii="宋体" w:hAnsi="宋体"/>
          <w:sz w:val="24"/>
          <w:highlight w:val="none"/>
        </w:rPr>
        <w:t>依据法律法规和谈判文件的规定，对响应文件中的资格证明文件等进行审查，以确定投标供应商是否具备投标资格。</w:t>
      </w:r>
      <w:r>
        <w:rPr>
          <w:rFonts w:hint="eastAsia" w:ascii="宋体" w:hAnsi="宋体"/>
          <w:sz w:val="24"/>
          <w:highlight w:val="none"/>
        </w:rPr>
        <w:t>供应商不满足资格条件的，在评审时将其视为无效响应。</w:t>
      </w:r>
    </w:p>
    <w:p>
      <w:pPr>
        <w:spacing w:line="460" w:lineRule="exact"/>
        <w:ind w:firstLine="480" w:firstLineChars="200"/>
        <w:rPr>
          <w:rFonts w:ascii="宋体" w:hAnsi="宋体"/>
          <w:sz w:val="24"/>
          <w:highlight w:val="none"/>
        </w:rPr>
      </w:pPr>
      <w:r>
        <w:rPr>
          <w:rFonts w:hint="eastAsia" w:ascii="宋体" w:hAnsi="宋体"/>
          <w:sz w:val="24"/>
          <w:highlight w:val="none"/>
        </w:rPr>
        <w:t>谈判小组可以要求供应商提交有关证明和证件的原件以便核验。</w:t>
      </w:r>
    </w:p>
    <w:p>
      <w:pPr>
        <w:spacing w:line="460" w:lineRule="exact"/>
        <w:ind w:firstLine="480" w:firstLineChars="200"/>
        <w:rPr>
          <w:rFonts w:ascii="宋体" w:hAnsi="宋体"/>
          <w:sz w:val="24"/>
          <w:highlight w:val="none"/>
        </w:rPr>
      </w:pPr>
      <w:r>
        <w:rPr>
          <w:rFonts w:hint="eastAsia" w:ascii="宋体" w:hAnsi="宋体"/>
          <w:sz w:val="24"/>
          <w:highlight w:val="none"/>
        </w:rPr>
        <w:t>25.2.2响应文件的符合性审查</w:t>
      </w:r>
    </w:p>
    <w:p>
      <w:pPr>
        <w:spacing w:line="460" w:lineRule="exact"/>
        <w:ind w:firstLine="480" w:firstLineChars="200"/>
        <w:rPr>
          <w:rFonts w:ascii="宋体" w:hAnsi="宋体"/>
          <w:sz w:val="24"/>
          <w:highlight w:val="none"/>
        </w:rPr>
      </w:pPr>
      <w:r>
        <w:rPr>
          <w:rFonts w:hint="eastAsia" w:ascii="宋体" w:hAnsi="宋体"/>
          <w:sz w:val="24"/>
          <w:highlight w:val="none"/>
        </w:rPr>
        <w:t>谈判小组按照谈判文件的规定，</w:t>
      </w:r>
      <w:r>
        <w:rPr>
          <w:rFonts w:ascii="宋体" w:hAnsi="宋体"/>
          <w:sz w:val="24"/>
          <w:highlight w:val="none"/>
        </w:rPr>
        <w:t>从响应文件的有效性、完整性和对谈判文件的响应程度进行审查，以确定是否对谈判文件的实质性要求作出响应。</w:t>
      </w:r>
    </w:p>
    <w:p>
      <w:pPr>
        <w:spacing w:line="460" w:lineRule="exact"/>
        <w:ind w:firstLine="480" w:firstLineChars="200"/>
        <w:rPr>
          <w:rFonts w:ascii="宋体" w:hAnsi="宋体"/>
          <w:sz w:val="24"/>
          <w:highlight w:val="none"/>
        </w:rPr>
      </w:pPr>
      <w:r>
        <w:rPr>
          <w:rFonts w:hint="eastAsia" w:ascii="宋体" w:hAnsi="宋体"/>
          <w:sz w:val="24"/>
          <w:highlight w:val="none"/>
        </w:rPr>
        <w:t>25.2.2.1供应商响应文件有下列情况之一，其响应文件无效：</w:t>
      </w:r>
    </w:p>
    <w:p>
      <w:pPr>
        <w:spacing w:line="460" w:lineRule="exact"/>
        <w:ind w:firstLine="480" w:firstLineChars="200"/>
        <w:rPr>
          <w:rFonts w:ascii="宋体" w:hAnsi="宋体"/>
          <w:sz w:val="24"/>
          <w:highlight w:val="none"/>
        </w:rPr>
      </w:pPr>
      <w:r>
        <w:rPr>
          <w:rFonts w:hint="eastAsia" w:ascii="宋体" w:hAnsi="宋体"/>
          <w:sz w:val="24"/>
          <w:highlight w:val="none"/>
        </w:rPr>
        <w:t>（1）应交未交保证金或金额不足不符合谈判文件要求的；</w:t>
      </w:r>
    </w:p>
    <w:p>
      <w:pPr>
        <w:spacing w:line="460" w:lineRule="exact"/>
        <w:ind w:firstLine="480" w:firstLineChars="200"/>
        <w:rPr>
          <w:rFonts w:ascii="宋体" w:hAnsi="宋体"/>
          <w:sz w:val="24"/>
          <w:highlight w:val="none"/>
        </w:rPr>
      </w:pPr>
      <w:r>
        <w:rPr>
          <w:rFonts w:hint="eastAsia" w:ascii="宋体" w:hAnsi="宋体"/>
          <w:sz w:val="24"/>
          <w:highlight w:val="none"/>
        </w:rPr>
        <w:t>（2）未按照谈判文件规定要求密封、签署、盖章的；</w:t>
      </w:r>
    </w:p>
    <w:p>
      <w:pPr>
        <w:spacing w:line="460" w:lineRule="exact"/>
        <w:ind w:firstLine="480" w:firstLineChars="200"/>
        <w:rPr>
          <w:rFonts w:ascii="宋体" w:hAnsi="宋体"/>
          <w:sz w:val="24"/>
          <w:highlight w:val="none"/>
        </w:rPr>
      </w:pPr>
      <w:r>
        <w:rPr>
          <w:rFonts w:hint="eastAsia" w:ascii="宋体" w:hAnsi="宋体"/>
          <w:sz w:val="24"/>
          <w:highlight w:val="none"/>
        </w:rPr>
        <w:t>（3）不实质性响应谈判文件要求的；</w:t>
      </w:r>
    </w:p>
    <w:p>
      <w:pPr>
        <w:spacing w:line="460" w:lineRule="exact"/>
        <w:ind w:firstLine="480" w:firstLineChars="200"/>
        <w:rPr>
          <w:rFonts w:ascii="宋体" w:hAnsi="宋体"/>
          <w:sz w:val="24"/>
          <w:highlight w:val="none"/>
        </w:rPr>
      </w:pPr>
      <w:r>
        <w:rPr>
          <w:rFonts w:hint="eastAsia" w:ascii="宋体" w:hAnsi="宋体"/>
          <w:sz w:val="24"/>
          <w:highlight w:val="none"/>
        </w:rPr>
        <w:t>（4）响应文件有效期不足的；</w:t>
      </w:r>
    </w:p>
    <w:p>
      <w:pPr>
        <w:spacing w:line="460" w:lineRule="exact"/>
        <w:ind w:firstLine="480" w:firstLineChars="200"/>
        <w:rPr>
          <w:rFonts w:ascii="宋体" w:hAnsi="宋体"/>
          <w:sz w:val="24"/>
          <w:highlight w:val="none"/>
        </w:rPr>
      </w:pPr>
      <w:r>
        <w:rPr>
          <w:rFonts w:hint="eastAsia" w:ascii="宋体" w:hAnsi="宋体"/>
          <w:sz w:val="24"/>
          <w:highlight w:val="none"/>
        </w:rPr>
        <w:t>（5）报价超过采购项目预算的；</w:t>
      </w:r>
    </w:p>
    <w:p>
      <w:pPr>
        <w:spacing w:line="460" w:lineRule="exact"/>
        <w:ind w:firstLine="480" w:firstLineChars="200"/>
        <w:rPr>
          <w:rFonts w:ascii="宋体" w:hAnsi="宋体"/>
          <w:sz w:val="24"/>
          <w:highlight w:val="none"/>
        </w:rPr>
      </w:pPr>
      <w:r>
        <w:rPr>
          <w:rFonts w:hint="eastAsia" w:ascii="宋体" w:hAnsi="宋体"/>
          <w:sz w:val="24"/>
          <w:highlight w:val="none"/>
        </w:rPr>
        <w:t>（6）不符合法律、法规和谈判文件规定的。</w:t>
      </w:r>
    </w:p>
    <w:p>
      <w:pPr>
        <w:spacing w:line="460" w:lineRule="exact"/>
        <w:ind w:firstLine="480" w:firstLineChars="200"/>
        <w:rPr>
          <w:rFonts w:ascii="宋体" w:hAnsi="宋体"/>
          <w:sz w:val="24"/>
          <w:highlight w:val="none"/>
        </w:rPr>
      </w:pPr>
      <w:r>
        <w:rPr>
          <w:rFonts w:hint="eastAsia" w:ascii="宋体" w:hAnsi="宋体"/>
          <w:sz w:val="24"/>
          <w:highlight w:val="none"/>
        </w:rPr>
        <w:t>25.2.2.2有下列情形之一的，视为供应商串通投标，其投标无效：</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）不同供应商的响应文件由同一单位或者个人编制；</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）不同供应商委托同一单位或者个人办理投标事宜；</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）不同供应商的响应文件载明的项目管理成员或者联系人员为同一人；</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4</w:t>
      </w:r>
      <w:r>
        <w:rPr>
          <w:rFonts w:hint="eastAsia" w:ascii="宋体" w:hAnsi="宋体"/>
          <w:sz w:val="24"/>
          <w:highlight w:val="none"/>
        </w:rPr>
        <w:t>）不同供应商的响应文件异常一致或者投标报价呈规律性差异；</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5</w:t>
      </w:r>
      <w:r>
        <w:rPr>
          <w:rFonts w:hint="eastAsia" w:ascii="宋体" w:hAnsi="宋体"/>
          <w:sz w:val="24"/>
          <w:highlight w:val="none"/>
        </w:rPr>
        <w:t>）不同供应商的响应文件相互混装；</w:t>
      </w:r>
    </w:p>
    <w:p>
      <w:pPr>
        <w:spacing w:line="460" w:lineRule="exact"/>
        <w:ind w:firstLine="480" w:firstLineChars="200"/>
        <w:rPr>
          <w:rFonts w:ascii="宋体" w:hAnsi="宋体"/>
          <w:sz w:val="24"/>
          <w:highlight w:val="none"/>
        </w:rPr>
      </w:pPr>
      <w:r>
        <w:rPr>
          <w:rFonts w:hint="eastAsia" w:ascii="宋体" w:hAnsi="宋体"/>
          <w:sz w:val="24"/>
          <w:highlight w:val="none"/>
        </w:rPr>
        <w:t>25.2.3谈判</w:t>
      </w:r>
    </w:p>
    <w:p>
      <w:pPr>
        <w:spacing w:line="460" w:lineRule="exact"/>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谈判小组应当通过随机方式确定参加谈判供应商的谈判顺序，</w:t>
      </w:r>
      <w:r>
        <w:rPr>
          <w:rFonts w:hint="eastAsia" w:ascii="宋体" w:hAnsi="宋体"/>
          <w:sz w:val="24"/>
          <w:highlight w:val="none"/>
        </w:rPr>
        <w:t>谈判小组所有成员集中与单一供应商分别进行谈判。谈判小组将给予所有参加谈判的供应商相同的谈判机会。谈判小组将谈判轮数公开告知参加谈判的供应商。</w:t>
      </w:r>
    </w:p>
    <w:p>
      <w:pPr>
        <w:pStyle w:val="13"/>
        <w:rPr>
          <w:rFonts w:ascii="宋体" w:hAnsi="宋体"/>
          <w:kern w:val="2"/>
          <w:highlight w:val="none"/>
        </w:rPr>
      </w:pPr>
      <w:r>
        <w:rPr>
          <w:rFonts w:hint="eastAsia"/>
          <w:highlight w:val="none"/>
        </w:rPr>
        <w:t xml:space="preserve">   </w:t>
      </w:r>
      <w:r>
        <w:rPr>
          <w:rFonts w:hint="eastAsia" w:ascii="宋体" w:hAnsi="宋体"/>
          <w:highlight w:val="none"/>
        </w:rPr>
        <w:t>（2）</w:t>
      </w:r>
      <w:r>
        <w:rPr>
          <w:rFonts w:ascii="宋体" w:hAnsi="宋体"/>
          <w:kern w:val="2"/>
          <w:highlight w:val="none"/>
        </w:rPr>
        <w:t>谈判内容</w:t>
      </w:r>
    </w:p>
    <w:p>
      <w:pPr>
        <w:spacing w:line="460" w:lineRule="exact"/>
        <w:ind w:firstLine="420" w:firstLineChars="200"/>
        <w:rPr>
          <w:rFonts w:ascii="宋体" w:hAnsi="宋体"/>
          <w:sz w:val="24"/>
          <w:highlight w:val="none"/>
        </w:rPr>
      </w:pPr>
      <w:r>
        <w:rPr>
          <w:rFonts w:hint="eastAsia" w:ascii="宋体" w:hAnsi="宋体"/>
          <w:highlight w:val="none"/>
        </w:rPr>
        <w:t xml:space="preserve"> </w:t>
      </w:r>
      <w:r>
        <w:rPr>
          <w:rFonts w:ascii="宋体" w:hAnsi="宋体"/>
          <w:sz w:val="24"/>
          <w:highlight w:val="none"/>
        </w:rPr>
        <w:t>谈判内容主要包括：针对本项目的技术、</w:t>
      </w:r>
      <w:r>
        <w:rPr>
          <w:rFonts w:hint="eastAsia" w:ascii="宋体" w:hAnsi="宋体"/>
          <w:sz w:val="24"/>
          <w:highlight w:val="none"/>
          <w:lang w:eastAsia="zh-CN"/>
        </w:rPr>
        <w:t>服务内容及要求</w:t>
      </w:r>
      <w:r>
        <w:rPr>
          <w:rFonts w:ascii="宋体" w:hAnsi="宋体"/>
          <w:sz w:val="24"/>
          <w:highlight w:val="none"/>
        </w:rPr>
        <w:t>以及合同草案条款等；谈判文件不能详细列明采购标的的技术、</w:t>
      </w:r>
      <w:r>
        <w:rPr>
          <w:rFonts w:hint="eastAsia" w:ascii="宋体" w:hAnsi="宋体"/>
          <w:sz w:val="24"/>
          <w:highlight w:val="none"/>
          <w:lang w:eastAsia="zh-CN"/>
        </w:rPr>
        <w:t>服务内容及要求</w:t>
      </w:r>
      <w:r>
        <w:rPr>
          <w:rFonts w:ascii="宋体" w:hAnsi="宋体"/>
          <w:sz w:val="24"/>
          <w:highlight w:val="none"/>
        </w:rPr>
        <w:t>的，需经谈判由供应商提供最终设计方案或解决方案；其它需要谈判的事项。</w:t>
      </w:r>
    </w:p>
    <w:p>
      <w:pPr>
        <w:numPr>
          <w:ilvl w:val="0"/>
          <w:numId w:val="1"/>
        </w:numPr>
        <w:spacing w:line="460" w:lineRule="exact"/>
        <w:ind w:firstLine="480" w:firstLineChars="200"/>
        <w:rPr>
          <w:rFonts w:hint="eastAsia" w:ascii="宋体" w:hAnsi="宋体"/>
          <w:sz w:val="24"/>
          <w:highlight w:val="none"/>
        </w:rPr>
      </w:pPr>
      <w:r>
        <w:rPr>
          <w:rFonts w:hint="eastAsia" w:ascii="宋体" w:hAnsi="宋体"/>
          <w:sz w:val="24"/>
          <w:highlight w:val="none"/>
        </w:rPr>
        <w:t>谈判程序</w:t>
      </w:r>
    </w:p>
    <w:p>
      <w:pPr>
        <w:spacing w:line="460" w:lineRule="exact"/>
        <w:ind w:firstLine="420" w:firstLineChars="200"/>
        <w:rPr>
          <w:rFonts w:ascii="宋体" w:hAnsi="宋体"/>
          <w:sz w:val="24"/>
          <w:highlight w:val="none"/>
        </w:rPr>
      </w:pPr>
      <w:r>
        <w:rPr>
          <w:rFonts w:hint="eastAsia"/>
          <w:highlight w:val="none"/>
          <w:lang w:val="en-US" w:eastAsia="zh-CN"/>
        </w:rPr>
        <w:t xml:space="preserve">   </w:t>
      </w:r>
      <w:r>
        <w:rPr>
          <w:rFonts w:hint="eastAsia" w:ascii="宋体" w:hAnsi="宋体"/>
          <w:sz w:val="24"/>
          <w:highlight w:val="none"/>
        </w:rPr>
        <w:t>第一阶段谈判：</w:t>
      </w:r>
    </w:p>
    <w:p>
      <w:pPr>
        <w:spacing w:line="460" w:lineRule="exact"/>
        <w:ind w:firstLine="480" w:firstLineChars="200"/>
        <w:rPr>
          <w:rFonts w:ascii="宋体" w:hAnsi="宋体"/>
          <w:sz w:val="24"/>
          <w:highlight w:val="none"/>
        </w:rPr>
      </w:pPr>
      <w:r>
        <w:rPr>
          <w:rFonts w:hint="eastAsia" w:ascii="宋体" w:hAnsi="宋体"/>
          <w:sz w:val="24"/>
          <w:highlight w:val="none"/>
        </w:rPr>
        <w:t>（1）符合《政府采购法》第三十条第一项、第三项情形的，谈判小组应当对供应商响应文件的符合性审查，直接与实质性响应谈判文件要求的供应商就价格进行谈判。在最后一轮谈判结束后，谈判小组将要求所有仍在参加谈判的供应商在同一截止时间前进行最后报价。最后报价由其法定代表人或其委托代理人签字后密封递交给谈判小组。</w:t>
      </w:r>
    </w:p>
    <w:p>
      <w:pPr>
        <w:spacing w:line="460" w:lineRule="exact"/>
        <w:ind w:firstLine="480" w:firstLineChars="200"/>
        <w:rPr>
          <w:rFonts w:hint="eastAsia" w:ascii="宋体" w:hAnsi="宋体"/>
          <w:sz w:val="24"/>
          <w:highlight w:val="none"/>
        </w:rPr>
      </w:pPr>
      <w:r>
        <w:rPr>
          <w:rFonts w:hint="eastAsia" w:ascii="宋体" w:hAnsi="宋体"/>
          <w:sz w:val="24"/>
          <w:highlight w:val="none"/>
        </w:rPr>
        <w:t>（2）符合《政府采购法》第三十条第二项、第四项情形的，在谈判过程中，谈判小组应逐步明确采购需求，确定技术标准和要求，完善合同内容。</w:t>
      </w:r>
      <w:r>
        <w:rPr>
          <w:rFonts w:ascii="宋体" w:hAnsi="宋体"/>
          <w:sz w:val="24"/>
          <w:highlight w:val="none"/>
        </w:rPr>
        <w:t>谈判小组可以根据谈判文件和谈判情况实质性变动采购需求中的技术、</w:t>
      </w:r>
      <w:r>
        <w:rPr>
          <w:rFonts w:hint="eastAsia" w:ascii="宋体" w:hAnsi="宋体"/>
          <w:sz w:val="24"/>
          <w:highlight w:val="none"/>
          <w:lang w:eastAsia="zh-CN"/>
        </w:rPr>
        <w:t>服务内容及要求</w:t>
      </w:r>
      <w:r>
        <w:rPr>
          <w:rFonts w:ascii="宋体" w:hAnsi="宋体"/>
          <w:sz w:val="24"/>
          <w:highlight w:val="none"/>
        </w:rPr>
        <w:t>以及合同草案条款，</w:t>
      </w:r>
      <w:r>
        <w:rPr>
          <w:rFonts w:hint="eastAsia" w:ascii="宋体" w:hAnsi="宋体"/>
          <w:sz w:val="24"/>
          <w:highlight w:val="none"/>
        </w:rPr>
        <w:t>进行第二阶段谈判，</w:t>
      </w:r>
      <w:r>
        <w:rPr>
          <w:rFonts w:ascii="宋体" w:hAnsi="宋体"/>
          <w:sz w:val="24"/>
          <w:highlight w:val="none"/>
        </w:rPr>
        <w:t>但不得变动谈判文件中的其他内容。实质性变动的内容，须经采购人代表确认。</w:t>
      </w:r>
      <w:r>
        <w:rPr>
          <w:rFonts w:hint="eastAsia" w:ascii="宋体" w:hAnsi="宋体"/>
          <w:sz w:val="24"/>
          <w:highlight w:val="none"/>
        </w:rPr>
        <w:t>谈判文件的实质性变动内容为谈判文件的组成部分，实质性变动内容与谈判文件不一致时，以实质性变动内容为准。</w:t>
      </w:r>
    </w:p>
    <w:p>
      <w:pPr>
        <w:spacing w:line="460" w:lineRule="exact"/>
        <w:ind w:firstLine="480" w:firstLineChars="200"/>
        <w:rPr>
          <w:rFonts w:ascii="宋体" w:hAnsi="宋体"/>
          <w:sz w:val="24"/>
          <w:highlight w:val="none"/>
        </w:rPr>
      </w:pPr>
      <w:r>
        <w:rPr>
          <w:rFonts w:hint="eastAsia" w:ascii="宋体" w:hAnsi="宋体"/>
          <w:sz w:val="24"/>
          <w:highlight w:val="none"/>
        </w:rPr>
        <w:t>第二阶段谈判：</w:t>
      </w:r>
    </w:p>
    <w:p>
      <w:pPr>
        <w:spacing w:line="460" w:lineRule="exact"/>
        <w:ind w:firstLine="480" w:firstLineChars="200"/>
        <w:rPr>
          <w:rFonts w:ascii="宋体" w:hAnsi="宋体"/>
          <w:sz w:val="24"/>
          <w:highlight w:val="none"/>
        </w:rPr>
      </w:pPr>
      <w:r>
        <w:rPr>
          <w:rFonts w:hint="eastAsia" w:ascii="宋体" w:hAnsi="宋体"/>
          <w:sz w:val="24"/>
          <w:highlight w:val="none"/>
        </w:rPr>
        <w:t>（1）谈判小组应要求所有参加第一阶段谈判的供应商以对其响应文件进行修正的方式，对谈判文件的实质性变动作出响应。在最后一轮谈判结束后，应当要求在谈判结束后同一截止时间前递交修正的响应文件和最后报价。供应商未按谈判小组规定递交的，视同在谈判开始之日后撤回响应文件。修正的响应文件和最后报价由其法定代表人或其委托代理人签字后递交给谈判小组。修正的响应文件为响应文件的组成部分。修正的响应文件与响应文件不一致时，以修正的响应文件为准。</w:t>
      </w:r>
    </w:p>
    <w:p>
      <w:pPr>
        <w:spacing w:line="460" w:lineRule="exact"/>
        <w:ind w:firstLine="480" w:firstLineChars="200"/>
        <w:rPr>
          <w:rFonts w:ascii="宋体" w:hAnsi="宋体"/>
          <w:sz w:val="24"/>
          <w:highlight w:val="none"/>
        </w:rPr>
      </w:pPr>
      <w:r>
        <w:rPr>
          <w:rFonts w:hint="eastAsia" w:ascii="宋体" w:hAnsi="宋体"/>
          <w:sz w:val="24"/>
          <w:highlight w:val="none"/>
        </w:rPr>
        <w:t>（2）在第二阶段谈判过程中，不能确定成交结果的，谈判终止，采购人重新开展采购活动。</w:t>
      </w:r>
    </w:p>
    <w:p>
      <w:pPr>
        <w:spacing w:line="460" w:lineRule="exact"/>
        <w:ind w:firstLine="480" w:firstLineChars="200"/>
        <w:rPr>
          <w:rFonts w:ascii="宋体" w:hAnsi="宋体"/>
          <w:sz w:val="24"/>
          <w:highlight w:val="none"/>
        </w:rPr>
      </w:pPr>
      <w:r>
        <w:rPr>
          <w:rFonts w:hint="eastAsia" w:ascii="宋体" w:hAnsi="宋体"/>
          <w:sz w:val="24"/>
          <w:highlight w:val="none"/>
        </w:rPr>
        <w:t>26.最后报价</w:t>
      </w:r>
    </w:p>
    <w:p>
      <w:pPr>
        <w:spacing w:line="460" w:lineRule="exact"/>
        <w:ind w:firstLine="480" w:firstLineChars="200"/>
        <w:rPr>
          <w:rFonts w:ascii="宋体" w:hAnsi="宋体"/>
          <w:sz w:val="24"/>
          <w:highlight w:val="none"/>
        </w:rPr>
      </w:pPr>
      <w:r>
        <w:rPr>
          <w:rFonts w:ascii="宋体" w:hAnsi="宋体"/>
          <w:sz w:val="24"/>
          <w:highlight w:val="none"/>
        </w:rPr>
        <w:t>谈判小组可根据供应商的报价，响应内容及谈判的情况，要求各供应商分别进行不超过</w:t>
      </w:r>
      <w:r>
        <w:rPr>
          <w:rFonts w:hint="eastAsia" w:ascii="宋体" w:hAnsi="宋体"/>
          <w:sz w:val="24"/>
          <w:highlight w:val="none"/>
          <w:lang w:eastAsia="zh-CN"/>
        </w:rPr>
        <w:t>二</w:t>
      </w:r>
      <w:r>
        <w:rPr>
          <w:rFonts w:ascii="宋体" w:hAnsi="宋体"/>
          <w:sz w:val="24"/>
          <w:highlight w:val="none"/>
        </w:rPr>
        <w:t>轮报价，最后一轮谈判结束后，参加谈判的供应商应当对谈判的承诺和最后报价以书面形式确认，并由法定代表人或其授权委托人签署生效。最后报价是供应商响应文件的有效组成部分。</w:t>
      </w:r>
    </w:p>
    <w:p>
      <w:pPr>
        <w:spacing w:line="460" w:lineRule="exact"/>
        <w:ind w:firstLine="480" w:firstLineChars="200"/>
        <w:rPr>
          <w:rFonts w:ascii="宋体" w:hAnsi="宋体"/>
          <w:sz w:val="24"/>
          <w:highlight w:val="none"/>
        </w:rPr>
      </w:pPr>
      <w:r>
        <w:rPr>
          <w:rFonts w:hint="eastAsia" w:ascii="宋体" w:hAnsi="宋体"/>
          <w:sz w:val="24"/>
          <w:highlight w:val="none"/>
        </w:rPr>
        <w:t>27.响应文件的澄清</w:t>
      </w:r>
    </w:p>
    <w:p>
      <w:pPr>
        <w:spacing w:line="460" w:lineRule="exact"/>
        <w:ind w:firstLine="480" w:firstLineChars="200"/>
        <w:rPr>
          <w:rFonts w:ascii="宋体" w:hAnsi="宋体"/>
          <w:sz w:val="24"/>
          <w:highlight w:val="none"/>
        </w:rPr>
      </w:pPr>
      <w:r>
        <w:rPr>
          <w:rFonts w:hint="eastAsia" w:ascii="宋体" w:hAnsi="宋体"/>
          <w:sz w:val="24"/>
          <w:highlight w:val="none"/>
        </w:rPr>
        <w:t>27.1谈判小组在对响应文件的有效性、完整性和响应程度进行审查时，可以要求供应商对响应文件中含义不明确、同类问题表述不一致或者有明显文字和计算错误的内容等作出必要的澄清、说明或者纠正。该要求应当以书面形式作出。供应商的澄清、说明或者补正应当采用书面形式，由其法定代表人或其委托代理人签字。供应商的澄清、说明或者更正不得超出谈判文件的范围或者改变响应文件的实质性内容。</w:t>
      </w:r>
    </w:p>
    <w:p>
      <w:pPr>
        <w:spacing w:line="460" w:lineRule="exact"/>
        <w:ind w:firstLine="480" w:firstLineChars="200"/>
        <w:rPr>
          <w:rFonts w:ascii="宋体" w:hAnsi="宋体"/>
          <w:sz w:val="24"/>
          <w:highlight w:val="none"/>
        </w:rPr>
      </w:pPr>
      <w:r>
        <w:rPr>
          <w:rFonts w:hint="eastAsia" w:ascii="宋体" w:hAnsi="宋体"/>
          <w:sz w:val="24"/>
          <w:highlight w:val="none"/>
        </w:rPr>
        <w:t>27.2.响应文件如果出现计算或表达上的错误，按照下列规定修正：</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）响应文件中开标一览表（报价表）内容与响应文件中相应内容不一致的，以开标一览表（报价表）为准。</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）大写金额和小写金额不一致的，以大写金额为准；</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）单价金额小数点或者百分比有明显错位的，以开标一览表的总价为准，并修改单价；</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4</w:t>
      </w:r>
      <w:r>
        <w:rPr>
          <w:rFonts w:hint="eastAsia" w:ascii="宋体" w:hAnsi="宋体"/>
          <w:sz w:val="24"/>
          <w:highlight w:val="none"/>
        </w:rPr>
        <w:t>）总价金额与按单价汇总金额不一致的，以单价金额计算结果为准；</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5</w:t>
      </w:r>
      <w:r>
        <w:rPr>
          <w:rFonts w:hint="eastAsia" w:ascii="宋体" w:hAnsi="宋体"/>
          <w:sz w:val="24"/>
          <w:highlight w:val="none"/>
        </w:rPr>
        <w:t>）对不同文字文本响应文件的解释发生异议的，以中文文本为准；</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6</w:t>
      </w:r>
      <w:r>
        <w:rPr>
          <w:rFonts w:hint="eastAsia" w:ascii="宋体" w:hAnsi="宋体"/>
          <w:sz w:val="24"/>
          <w:highlight w:val="none"/>
        </w:rPr>
        <w:t>）同时出现两种以上不一致的，按照前款规定的顺序修正。按上述规定修正后的报价经供应商确认后对供应商起约束作用。如果供应商不确认修正后的报价，则其投标无效。</w:t>
      </w:r>
    </w:p>
    <w:p>
      <w:pPr>
        <w:spacing w:line="460" w:lineRule="exact"/>
        <w:ind w:firstLine="480" w:firstLineChars="200"/>
        <w:rPr>
          <w:rFonts w:ascii="宋体" w:hAnsi="宋体"/>
          <w:sz w:val="24"/>
          <w:highlight w:val="none"/>
        </w:rPr>
      </w:pPr>
      <w:r>
        <w:rPr>
          <w:rFonts w:hint="eastAsia" w:ascii="宋体" w:hAnsi="宋体"/>
          <w:sz w:val="24"/>
          <w:highlight w:val="none"/>
        </w:rPr>
        <w:t>27.3供应商应按谈判小组通知的时间、地点，指派专人进行澄清、说明或者补正。</w:t>
      </w:r>
    </w:p>
    <w:p>
      <w:pPr>
        <w:spacing w:line="460" w:lineRule="exact"/>
        <w:ind w:firstLine="480" w:firstLineChars="200"/>
        <w:rPr>
          <w:rFonts w:ascii="宋体" w:hAnsi="宋体"/>
          <w:sz w:val="24"/>
          <w:highlight w:val="none"/>
        </w:rPr>
      </w:pPr>
      <w:r>
        <w:rPr>
          <w:rFonts w:hint="eastAsia" w:ascii="宋体" w:hAnsi="宋体"/>
          <w:sz w:val="24"/>
          <w:highlight w:val="none"/>
        </w:rPr>
        <w:t>28.推荐或确定成交供应商</w:t>
      </w:r>
    </w:p>
    <w:p>
      <w:pPr>
        <w:spacing w:line="460" w:lineRule="exact"/>
        <w:ind w:firstLine="480" w:firstLineChars="200"/>
        <w:rPr>
          <w:rFonts w:ascii="宋体" w:hAnsi="宋体"/>
          <w:sz w:val="24"/>
          <w:highlight w:val="none"/>
        </w:rPr>
      </w:pPr>
      <w:r>
        <w:rPr>
          <w:rFonts w:hint="eastAsia" w:ascii="宋体" w:hAnsi="宋体"/>
          <w:sz w:val="24"/>
          <w:highlight w:val="none"/>
        </w:rPr>
        <w:t>谈判小组依据谈判文件及供应商响应文件和最后报价，从产品质量和服务均能满足谈判文件规定的最低要求供应商中，按政府采购政策优惠的规定，确定供应商的评审报价，按照经评审后的报价由低到高的顺序推荐成交候选供应商。</w:t>
      </w:r>
    </w:p>
    <w:p>
      <w:pPr>
        <w:spacing w:line="460" w:lineRule="exact"/>
        <w:ind w:firstLine="480" w:firstLineChars="200"/>
        <w:rPr>
          <w:rFonts w:ascii="宋体" w:hAnsi="宋体"/>
          <w:sz w:val="24"/>
          <w:highlight w:val="none"/>
        </w:rPr>
      </w:pPr>
      <w:r>
        <w:rPr>
          <w:rFonts w:hint="eastAsia" w:ascii="宋体" w:hAnsi="宋体"/>
          <w:sz w:val="24"/>
          <w:highlight w:val="none"/>
        </w:rPr>
        <w:t>29. 谈判的特殊情形</w:t>
      </w:r>
    </w:p>
    <w:p>
      <w:pPr>
        <w:spacing w:line="460" w:lineRule="exact"/>
        <w:ind w:firstLine="480" w:firstLineChars="200"/>
        <w:rPr>
          <w:rFonts w:ascii="宋体" w:hAnsi="宋体"/>
          <w:sz w:val="24"/>
          <w:highlight w:val="none"/>
        </w:rPr>
      </w:pPr>
      <w:r>
        <w:rPr>
          <w:rFonts w:hint="eastAsia" w:ascii="宋体" w:hAnsi="宋体"/>
          <w:sz w:val="24"/>
          <w:highlight w:val="none"/>
        </w:rPr>
        <w:t>29.1递交响应文件的供应商不足三家的，不予谈判，除采购任务取消外，如谈判文件没有不合理条款，发布项目延期公告，延长三个工作日，延长期满后，仍不足三家的，继续进入谈判程序。</w:t>
      </w:r>
    </w:p>
    <w:p>
      <w:pPr>
        <w:spacing w:line="460" w:lineRule="exact"/>
        <w:ind w:firstLine="480" w:firstLineChars="200"/>
        <w:rPr>
          <w:rFonts w:ascii="宋体" w:hAnsi="宋体"/>
          <w:sz w:val="24"/>
          <w:highlight w:val="none"/>
        </w:rPr>
      </w:pPr>
      <w:r>
        <w:rPr>
          <w:rFonts w:hint="eastAsia" w:ascii="宋体" w:hAnsi="宋体"/>
          <w:sz w:val="24"/>
          <w:highlight w:val="none"/>
        </w:rPr>
        <w:t>29.2对谈判文件作出实质性响应的供应商不足三家但达到二家的，谈判小组认为继续谈判能够引起充分竞争且技术上满足谈判文件要求、报价低于预算，可比照财政部《货物和服务招标投标管理办法》第43条规定，经谈判小组出具书面意见并签字认可，报经政府采购管理部门同意，通知供应商当场继续采用竞争性谈判；对谈判文件作出实质性响应的供应商只有一家的，予以废标，重新组织采购活动。</w:t>
      </w:r>
    </w:p>
    <w:p>
      <w:pPr>
        <w:spacing w:line="460" w:lineRule="exact"/>
        <w:ind w:firstLine="480" w:firstLineChars="200"/>
        <w:rPr>
          <w:rFonts w:ascii="宋体" w:hAnsi="宋体"/>
          <w:sz w:val="24"/>
          <w:highlight w:val="none"/>
        </w:rPr>
      </w:pPr>
      <w:r>
        <w:rPr>
          <w:rFonts w:hint="eastAsia" w:ascii="宋体" w:hAnsi="宋体"/>
          <w:sz w:val="24"/>
          <w:highlight w:val="none"/>
        </w:rPr>
        <w:t>29.3项目经延期或重新组织采购后，对谈判文件作出实质性响应的供应商仍只有一家的，经谈判小组出具书面意见并签字认可，报经政府采购管理部门同意，改为其他方式采购。</w:t>
      </w:r>
    </w:p>
    <w:p>
      <w:pPr>
        <w:spacing w:line="460" w:lineRule="exact"/>
        <w:ind w:firstLine="480" w:firstLineChars="200"/>
        <w:rPr>
          <w:rFonts w:ascii="宋体" w:hAnsi="宋体"/>
          <w:sz w:val="24"/>
          <w:highlight w:val="none"/>
        </w:rPr>
      </w:pPr>
      <w:r>
        <w:rPr>
          <w:rFonts w:hint="eastAsia" w:ascii="宋体" w:hAnsi="宋体"/>
          <w:sz w:val="24"/>
          <w:highlight w:val="none"/>
        </w:rPr>
        <w:t>30.谈判终止</w:t>
      </w:r>
    </w:p>
    <w:p>
      <w:pPr>
        <w:spacing w:line="460" w:lineRule="exact"/>
        <w:ind w:firstLine="480" w:firstLineChars="200"/>
        <w:rPr>
          <w:rFonts w:ascii="宋体" w:hAnsi="宋体"/>
          <w:sz w:val="24"/>
          <w:highlight w:val="none"/>
        </w:rPr>
      </w:pPr>
      <w:r>
        <w:rPr>
          <w:rFonts w:hint="eastAsia" w:ascii="宋体" w:hAnsi="宋体"/>
          <w:sz w:val="24"/>
          <w:highlight w:val="none"/>
        </w:rPr>
        <w:t>30.1 谈判时，出现下列情况之一，本次谈判终止：</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）符合专业条件的供应商或者对谈判文件作实质响应的供应商不足</w:t>
      </w:r>
      <w:r>
        <w:rPr>
          <w:rFonts w:ascii="宋体" w:hAnsi="宋体"/>
          <w:sz w:val="24"/>
          <w:highlight w:val="none"/>
        </w:rPr>
        <w:t>3</w:t>
      </w:r>
      <w:r>
        <w:rPr>
          <w:rFonts w:hint="eastAsia" w:ascii="宋体" w:hAnsi="宋体"/>
          <w:sz w:val="24"/>
          <w:highlight w:val="none"/>
        </w:rPr>
        <w:t>家的；</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）出现影响采购公正的违法、违规行为的；</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）供应商的最终报价均超过采购项目预算；</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4</w:t>
      </w:r>
      <w:r>
        <w:rPr>
          <w:rFonts w:hint="eastAsia" w:ascii="宋体" w:hAnsi="宋体"/>
          <w:sz w:val="24"/>
          <w:highlight w:val="none"/>
        </w:rPr>
        <w:t>）因重大变故，采购任务取消的。</w:t>
      </w:r>
    </w:p>
    <w:p>
      <w:pPr>
        <w:spacing w:line="460" w:lineRule="exact"/>
        <w:ind w:firstLine="480" w:firstLineChars="200"/>
        <w:rPr>
          <w:rFonts w:ascii="宋体" w:hAnsi="宋体"/>
          <w:sz w:val="24"/>
          <w:highlight w:val="none"/>
        </w:rPr>
      </w:pPr>
      <w:r>
        <w:rPr>
          <w:rFonts w:hint="eastAsia" w:ascii="宋体" w:hAnsi="宋体"/>
          <w:sz w:val="24"/>
          <w:highlight w:val="none"/>
        </w:rPr>
        <w:t>30.2 谈判小组应将谈判终止理由通知所有参与谈判的供应商。</w:t>
      </w:r>
    </w:p>
    <w:p>
      <w:pPr>
        <w:spacing w:line="460" w:lineRule="exact"/>
        <w:ind w:firstLine="480" w:firstLineChars="200"/>
        <w:rPr>
          <w:rFonts w:ascii="宋体" w:hAnsi="宋体"/>
          <w:sz w:val="24"/>
          <w:highlight w:val="none"/>
        </w:rPr>
      </w:pPr>
      <w:r>
        <w:rPr>
          <w:rFonts w:hint="eastAsia" w:ascii="宋体" w:hAnsi="宋体"/>
          <w:sz w:val="24"/>
          <w:highlight w:val="none"/>
        </w:rPr>
        <w:t>31.保密要求</w:t>
      </w:r>
    </w:p>
    <w:p>
      <w:pPr>
        <w:spacing w:line="460" w:lineRule="exact"/>
        <w:ind w:firstLine="480" w:firstLineChars="200"/>
        <w:rPr>
          <w:rFonts w:ascii="宋体" w:hAnsi="宋体"/>
          <w:sz w:val="24"/>
          <w:highlight w:val="none"/>
        </w:rPr>
      </w:pPr>
      <w:r>
        <w:rPr>
          <w:rFonts w:hint="eastAsia" w:ascii="宋体" w:hAnsi="宋体"/>
          <w:sz w:val="24"/>
          <w:highlight w:val="none"/>
        </w:rPr>
        <w:t>谈判小组成员以及与评审工作有关的人员对评审情况以及评审过程中获悉的国家秘密、商业秘密负有保密责任。开标后，直到授予中标人合同止，凡是属于审查、澄清、评审和比较的有关资料以及授标建议等均不得向供应商或其他无关的人员透露。应当保密。</w:t>
      </w:r>
    </w:p>
    <w:p>
      <w:pPr>
        <w:pStyle w:val="4"/>
        <w:spacing w:before="0" w:line="240" w:lineRule="atLeast"/>
        <w:ind w:left="0" w:firstLine="482" w:firstLineChars="200"/>
        <w:rPr>
          <w:rFonts w:ascii="宋体" w:hAnsi="宋体" w:eastAsia="宋体"/>
          <w:sz w:val="24"/>
          <w:szCs w:val="24"/>
          <w:highlight w:val="none"/>
        </w:rPr>
      </w:pPr>
      <w:bookmarkStart w:id="124" w:name="_Toc60996682"/>
      <w:bookmarkStart w:id="125" w:name="_Toc19415"/>
      <w:bookmarkStart w:id="126" w:name="_Toc20995_WPSOffice_Level2"/>
      <w:bookmarkStart w:id="127" w:name="_Toc12853_WPSOffice_Level1"/>
      <w:bookmarkStart w:id="128" w:name="_Toc18616"/>
      <w:bookmarkStart w:id="129" w:name="_六、中标结果"/>
      <w:r>
        <w:rPr>
          <w:rFonts w:hint="eastAsia" w:ascii="宋体" w:hAnsi="宋体" w:eastAsia="宋体"/>
          <w:sz w:val="24"/>
          <w:szCs w:val="24"/>
          <w:highlight w:val="none"/>
          <w:lang w:eastAsia="zh-CN"/>
        </w:rPr>
        <w:t>七</w:t>
      </w:r>
      <w:r>
        <w:rPr>
          <w:rFonts w:ascii="宋体" w:hAnsi="宋体" w:eastAsia="宋体"/>
          <w:sz w:val="24"/>
          <w:szCs w:val="24"/>
          <w:highlight w:val="none"/>
        </w:rPr>
        <w:t>、</w:t>
      </w:r>
      <w:r>
        <w:rPr>
          <w:rFonts w:hint="eastAsia" w:ascii="宋体" w:hAnsi="宋体" w:eastAsia="宋体"/>
          <w:sz w:val="24"/>
          <w:szCs w:val="24"/>
          <w:highlight w:val="none"/>
        </w:rPr>
        <w:t>成交结果</w:t>
      </w:r>
      <w:bookmarkEnd w:id="124"/>
      <w:bookmarkEnd w:id="125"/>
      <w:bookmarkEnd w:id="126"/>
      <w:bookmarkEnd w:id="127"/>
      <w:bookmarkEnd w:id="128"/>
    </w:p>
    <w:bookmarkEnd w:id="129"/>
    <w:p>
      <w:pPr>
        <w:spacing w:line="460" w:lineRule="exact"/>
        <w:ind w:firstLine="480" w:firstLineChars="200"/>
        <w:rPr>
          <w:rFonts w:ascii="宋体" w:hAnsi="宋体"/>
          <w:sz w:val="24"/>
          <w:highlight w:val="none"/>
        </w:rPr>
      </w:pPr>
      <w:bookmarkStart w:id="130" w:name="_Toc7601"/>
      <w:r>
        <w:rPr>
          <w:rFonts w:hint="eastAsia" w:ascii="宋体" w:hAnsi="宋体"/>
          <w:sz w:val="24"/>
          <w:highlight w:val="none"/>
        </w:rPr>
        <w:t>32</w:t>
      </w:r>
      <w:r>
        <w:rPr>
          <w:rFonts w:ascii="宋体" w:hAnsi="宋体"/>
          <w:sz w:val="24"/>
          <w:highlight w:val="none"/>
        </w:rPr>
        <w:t>.</w:t>
      </w:r>
      <w:r>
        <w:rPr>
          <w:rFonts w:hint="eastAsia" w:ascii="宋体" w:hAnsi="宋体"/>
          <w:sz w:val="24"/>
          <w:highlight w:val="none"/>
        </w:rPr>
        <w:t>成交供应商的确定</w:t>
      </w:r>
      <w:bookmarkEnd w:id="130"/>
    </w:p>
    <w:p>
      <w:pPr>
        <w:spacing w:line="460" w:lineRule="exact"/>
        <w:ind w:firstLine="480" w:firstLineChars="200"/>
        <w:rPr>
          <w:rFonts w:ascii="宋体" w:hAnsi="宋体"/>
          <w:sz w:val="24"/>
          <w:highlight w:val="none"/>
        </w:rPr>
      </w:pPr>
      <w:r>
        <w:rPr>
          <w:rFonts w:hint="eastAsia" w:ascii="宋体" w:hAnsi="宋体"/>
          <w:sz w:val="24"/>
          <w:highlight w:val="none"/>
        </w:rPr>
        <w:t>32.</w:t>
      </w:r>
      <w:r>
        <w:rPr>
          <w:rFonts w:hint="eastAsia" w:ascii="宋体" w:hAnsi="宋体"/>
          <w:sz w:val="24"/>
          <w:highlight w:val="none"/>
          <w:lang w:val="en-US" w:eastAsia="zh-CN"/>
        </w:rPr>
        <w:t>1</w:t>
      </w:r>
      <w:r>
        <w:rPr>
          <w:rFonts w:hint="eastAsia" w:ascii="宋体" w:hAnsi="宋体"/>
          <w:sz w:val="24"/>
          <w:highlight w:val="none"/>
        </w:rPr>
        <w:t>采购人应当自收到评审报告之日起5个工作日内，在评审报告提出的成交候选人中，根据质量和服务均能满足谈判文件实质性响应要求且最后报价最低的原则确定成交供应商，也可以书面授权谈判小组直接确定成交供应商。</w:t>
      </w:r>
    </w:p>
    <w:p>
      <w:pPr>
        <w:spacing w:line="460" w:lineRule="exact"/>
        <w:ind w:firstLine="480" w:firstLineChars="200"/>
        <w:rPr>
          <w:rFonts w:ascii="宋体" w:hAnsi="宋体"/>
          <w:sz w:val="24"/>
          <w:highlight w:val="none"/>
        </w:rPr>
      </w:pPr>
      <w:bookmarkStart w:id="131" w:name="_Toc25957"/>
      <w:r>
        <w:rPr>
          <w:rFonts w:hint="eastAsia" w:ascii="宋体" w:hAnsi="宋体"/>
          <w:sz w:val="24"/>
          <w:highlight w:val="none"/>
        </w:rPr>
        <w:t>33</w:t>
      </w:r>
      <w:r>
        <w:rPr>
          <w:rFonts w:ascii="宋体" w:hAnsi="宋体"/>
          <w:sz w:val="24"/>
          <w:highlight w:val="none"/>
        </w:rPr>
        <w:t>.</w:t>
      </w:r>
      <w:r>
        <w:rPr>
          <w:rFonts w:hint="eastAsia" w:ascii="宋体" w:hAnsi="宋体"/>
          <w:sz w:val="24"/>
          <w:highlight w:val="none"/>
        </w:rPr>
        <w:t>成交通知书</w:t>
      </w:r>
      <w:bookmarkEnd w:id="131"/>
    </w:p>
    <w:p>
      <w:pPr>
        <w:pStyle w:val="17"/>
        <w:adjustRightInd w:val="0"/>
        <w:snapToGrid w:val="0"/>
        <w:spacing w:beforeLines="50" w:line="360" w:lineRule="auto"/>
        <w:ind w:firstLine="480" w:firstLineChars="200"/>
        <w:rPr>
          <w:rFonts w:hAnsi="宋体"/>
          <w:sz w:val="24"/>
          <w:highlight w:val="none"/>
        </w:rPr>
      </w:pPr>
      <w:r>
        <w:rPr>
          <w:rFonts w:hint="eastAsia" w:hAnsi="宋体"/>
          <w:sz w:val="24"/>
          <w:highlight w:val="none"/>
        </w:rPr>
        <w:t>33</w:t>
      </w:r>
      <w:r>
        <w:rPr>
          <w:rFonts w:hAnsi="宋体"/>
          <w:sz w:val="24"/>
          <w:highlight w:val="none"/>
        </w:rPr>
        <w:t xml:space="preserve">.1 </w:t>
      </w:r>
      <w:r>
        <w:rPr>
          <w:rFonts w:hint="eastAsia" w:hAnsi="宋体"/>
          <w:sz w:val="24"/>
          <w:highlight w:val="none"/>
        </w:rPr>
        <w:t>采购人或者采购代理机构应当自成交供应商确定之日起 2 个工作日内，在</w:t>
      </w:r>
      <w:r>
        <w:rPr>
          <w:rFonts w:hint="eastAsia" w:hAnsi="宋体"/>
          <w:sz w:val="24"/>
          <w:highlight w:val="none"/>
          <w:lang w:eastAsia="zh-CN"/>
        </w:rPr>
        <w:t>学校</w:t>
      </w:r>
      <w:r>
        <w:rPr>
          <w:rFonts w:hint="eastAsia" w:hAnsi="宋体"/>
          <w:sz w:val="24"/>
          <w:highlight w:val="none"/>
        </w:rPr>
        <w:t>指定的媒体上公告成交结果（发布媒体详见竞争性谈判公告），在公告成交结果的同时，采购人或者采购代理机构应当向成交供应商发出成交通知书。成交通知书对采购人和成交供应商具有同等法律效力。</w:t>
      </w:r>
    </w:p>
    <w:p>
      <w:pPr>
        <w:spacing w:line="460" w:lineRule="exact"/>
        <w:ind w:firstLine="480" w:firstLineChars="200"/>
        <w:rPr>
          <w:rFonts w:ascii="宋体" w:hAnsi="宋体"/>
          <w:sz w:val="24"/>
          <w:highlight w:val="none"/>
        </w:rPr>
      </w:pPr>
      <w:r>
        <w:rPr>
          <w:rFonts w:hint="eastAsia" w:ascii="宋体" w:hAnsi="宋体"/>
          <w:sz w:val="24"/>
          <w:highlight w:val="none"/>
        </w:rPr>
        <w:t>33.2成交通知书是合同的一个组成部分。</w:t>
      </w:r>
    </w:p>
    <w:p>
      <w:pPr>
        <w:spacing w:line="460" w:lineRule="exact"/>
        <w:ind w:firstLine="480" w:firstLineChars="200"/>
        <w:rPr>
          <w:rFonts w:ascii="宋体" w:hAnsi="宋体"/>
          <w:sz w:val="24"/>
          <w:highlight w:val="none"/>
        </w:rPr>
      </w:pPr>
      <w:bookmarkStart w:id="132" w:name="_Toc2208"/>
      <w:r>
        <w:rPr>
          <w:rFonts w:hint="eastAsia" w:ascii="宋体" w:hAnsi="宋体"/>
          <w:sz w:val="24"/>
          <w:highlight w:val="none"/>
        </w:rPr>
        <w:t>34.合同的签订</w:t>
      </w:r>
      <w:bookmarkEnd w:id="132"/>
    </w:p>
    <w:p>
      <w:pPr>
        <w:spacing w:line="460" w:lineRule="exact"/>
        <w:ind w:firstLine="480" w:firstLineChars="200"/>
        <w:rPr>
          <w:rFonts w:ascii="宋体" w:hAnsi="宋体"/>
          <w:sz w:val="24"/>
          <w:highlight w:val="none"/>
        </w:rPr>
      </w:pPr>
      <w:r>
        <w:rPr>
          <w:rFonts w:hint="eastAsia" w:ascii="宋体" w:hAnsi="宋体"/>
          <w:sz w:val="24"/>
          <w:highlight w:val="none"/>
        </w:rPr>
        <w:t>34.</w:t>
      </w:r>
      <w:r>
        <w:rPr>
          <w:rFonts w:ascii="宋体" w:hAnsi="宋体"/>
          <w:sz w:val="24"/>
          <w:highlight w:val="none"/>
        </w:rPr>
        <w:t>1</w:t>
      </w:r>
      <w:r>
        <w:rPr>
          <w:rFonts w:hint="eastAsia" w:ascii="宋体" w:hAnsi="宋体"/>
          <w:sz w:val="24"/>
          <w:highlight w:val="none"/>
        </w:rPr>
        <w:t>采购人应当自成交通知书发出之日起 30 日内，按照谈判文件和成交供应商响应文件的规定，与成交供应商签订书面合同。所签订的合同不得对谈判文件确定的事项和成交供应商响应文件作实质性修改。</w:t>
      </w:r>
    </w:p>
    <w:p>
      <w:pPr>
        <w:spacing w:line="460" w:lineRule="exact"/>
        <w:ind w:firstLine="480" w:firstLineChars="200"/>
        <w:rPr>
          <w:rFonts w:ascii="宋体" w:hAnsi="宋体"/>
          <w:sz w:val="24"/>
          <w:highlight w:val="none"/>
        </w:rPr>
      </w:pPr>
      <w:r>
        <w:rPr>
          <w:rFonts w:hint="eastAsia" w:ascii="宋体" w:hAnsi="宋体"/>
          <w:sz w:val="24"/>
          <w:highlight w:val="none"/>
        </w:rPr>
        <w:t>采购人不得向成交供应商提出任何不合理的要求作为签订合同的条件。</w:t>
      </w:r>
    </w:p>
    <w:p>
      <w:pPr>
        <w:spacing w:line="460" w:lineRule="exact"/>
        <w:ind w:firstLine="480" w:firstLineChars="200"/>
        <w:rPr>
          <w:rFonts w:ascii="宋体" w:hAnsi="宋体"/>
          <w:sz w:val="24"/>
          <w:highlight w:val="none"/>
        </w:rPr>
      </w:pPr>
      <w:r>
        <w:rPr>
          <w:rFonts w:hint="eastAsia" w:ascii="宋体" w:hAnsi="宋体"/>
          <w:sz w:val="24"/>
          <w:highlight w:val="none"/>
        </w:rPr>
        <w:t>34.</w:t>
      </w:r>
      <w:r>
        <w:rPr>
          <w:rFonts w:ascii="宋体" w:hAnsi="宋体"/>
          <w:sz w:val="24"/>
          <w:highlight w:val="none"/>
        </w:rPr>
        <w:t xml:space="preserve">2 </w:t>
      </w:r>
      <w:r>
        <w:rPr>
          <w:rFonts w:hint="eastAsia" w:ascii="宋体" w:hAnsi="宋体"/>
          <w:sz w:val="24"/>
          <w:highlight w:val="none"/>
        </w:rPr>
        <w:t>中标或者成交供应商拒绝与采购人签订合同的，采购人可以按照评审报告推荐的中标或者成交候选人名单排序，确定下一候选人为中标或者成交供应商，也可以重新开展政府采购活动。</w:t>
      </w:r>
    </w:p>
    <w:p>
      <w:pPr>
        <w:spacing w:line="460" w:lineRule="exact"/>
        <w:ind w:firstLine="480" w:firstLineChars="200"/>
        <w:rPr>
          <w:rFonts w:ascii="宋体" w:hAnsi="宋体"/>
          <w:sz w:val="24"/>
          <w:highlight w:val="none"/>
        </w:rPr>
      </w:pPr>
      <w:bookmarkStart w:id="133" w:name="_Toc1372"/>
      <w:r>
        <w:rPr>
          <w:rFonts w:hint="eastAsia" w:ascii="宋体" w:hAnsi="宋体"/>
          <w:sz w:val="24"/>
          <w:highlight w:val="none"/>
        </w:rPr>
        <w:t>35.履约保证金</w:t>
      </w:r>
      <w:bookmarkEnd w:id="133"/>
    </w:p>
    <w:p>
      <w:pPr>
        <w:spacing w:line="460" w:lineRule="exact"/>
        <w:ind w:firstLine="480" w:firstLineChars="200"/>
        <w:rPr>
          <w:rFonts w:ascii="宋体" w:hAnsi="宋体"/>
          <w:sz w:val="24"/>
          <w:highlight w:val="none"/>
        </w:rPr>
      </w:pPr>
      <w:r>
        <w:rPr>
          <w:rFonts w:hint="eastAsia" w:ascii="宋体" w:hAnsi="宋体"/>
          <w:sz w:val="24"/>
          <w:highlight w:val="none"/>
        </w:rPr>
        <w:t>签订合同前，中标人应按“供应商须知前附表”中确定的履约保证金的金额，向采购人交纳履约保证金，履约保证金的数额不得超过政府采购合同金额的10%。</w:t>
      </w:r>
    </w:p>
    <w:bookmarkEnd w:id="58"/>
    <w:p>
      <w:pPr>
        <w:tabs>
          <w:tab w:val="left" w:pos="720"/>
        </w:tabs>
        <w:spacing w:line="360" w:lineRule="auto"/>
        <w:ind w:firstLine="2650" w:firstLineChars="600"/>
        <w:outlineLvl w:val="0"/>
        <w:rPr>
          <w:rFonts w:ascii="黑体"/>
          <w:b/>
          <w:bCs/>
          <w:sz w:val="44"/>
          <w:szCs w:val="44"/>
          <w:highlight w:val="none"/>
        </w:rPr>
      </w:pPr>
      <w:bookmarkStart w:id="134" w:name="_Toc60996684"/>
      <w:bookmarkStart w:id="135" w:name="_Toc20297_WPSOffice_Level1"/>
      <w:bookmarkStart w:id="136" w:name="_Toc32340_WPSOffice_Level2"/>
    </w:p>
    <w:p>
      <w:pPr>
        <w:pStyle w:val="45"/>
        <w:rPr>
          <w:rFonts w:hint="eastAsia" w:ascii="黑体"/>
          <w:sz w:val="32"/>
          <w:szCs w:val="32"/>
          <w:highlight w:val="none"/>
        </w:rPr>
      </w:pPr>
    </w:p>
    <w:p>
      <w:pPr>
        <w:pStyle w:val="45"/>
        <w:rPr>
          <w:rFonts w:hint="eastAsia" w:ascii="黑体"/>
          <w:sz w:val="32"/>
          <w:szCs w:val="32"/>
          <w:highlight w:val="none"/>
        </w:rPr>
      </w:pPr>
    </w:p>
    <w:p>
      <w:pPr>
        <w:pStyle w:val="45"/>
        <w:rPr>
          <w:rFonts w:hint="eastAsia" w:ascii="黑体"/>
          <w:sz w:val="32"/>
          <w:szCs w:val="32"/>
          <w:highlight w:val="none"/>
        </w:rPr>
      </w:pPr>
    </w:p>
    <w:p>
      <w:pPr>
        <w:pStyle w:val="45"/>
        <w:rPr>
          <w:rFonts w:hint="eastAsia" w:ascii="黑体"/>
          <w:sz w:val="32"/>
          <w:szCs w:val="32"/>
          <w:highlight w:val="none"/>
        </w:rPr>
      </w:pPr>
    </w:p>
    <w:p>
      <w:pPr>
        <w:pStyle w:val="3"/>
        <w:ind w:left="0" w:firstLine="0"/>
        <w:jc w:val="center"/>
        <w:rPr>
          <w:rFonts w:hint="eastAsia" w:ascii="黑体"/>
          <w:sz w:val="32"/>
          <w:szCs w:val="32"/>
          <w:highlight w:val="none"/>
        </w:rPr>
      </w:pPr>
    </w:p>
    <w:p>
      <w:pPr>
        <w:pStyle w:val="3"/>
        <w:ind w:left="0" w:firstLine="0"/>
        <w:jc w:val="center"/>
        <w:rPr>
          <w:rFonts w:hint="eastAsia" w:ascii="黑体"/>
          <w:sz w:val="32"/>
          <w:szCs w:val="32"/>
          <w:highlight w:val="none"/>
        </w:rPr>
      </w:pPr>
    </w:p>
    <w:p>
      <w:pPr>
        <w:pStyle w:val="3"/>
        <w:ind w:left="0" w:firstLine="0"/>
        <w:jc w:val="center"/>
        <w:rPr>
          <w:rFonts w:ascii="黑体"/>
          <w:sz w:val="32"/>
          <w:szCs w:val="32"/>
          <w:highlight w:val="none"/>
        </w:rPr>
      </w:pPr>
      <w:bookmarkStart w:id="137" w:name="_Toc16075"/>
      <w:r>
        <w:rPr>
          <w:rFonts w:hint="eastAsia" w:ascii="黑体"/>
          <w:sz w:val="32"/>
          <w:szCs w:val="32"/>
          <w:highlight w:val="none"/>
        </w:rPr>
        <w:t>第三章</w:t>
      </w:r>
      <w:bookmarkEnd w:id="134"/>
      <w:r>
        <w:rPr>
          <w:rFonts w:hint="eastAsia" w:ascii="黑体"/>
          <w:sz w:val="32"/>
          <w:szCs w:val="32"/>
          <w:highlight w:val="none"/>
        </w:rPr>
        <w:t xml:space="preserve">  合同书样式</w:t>
      </w:r>
      <w:bookmarkEnd w:id="135"/>
      <w:bookmarkEnd w:id="136"/>
      <w:bookmarkEnd w:id="137"/>
    </w:p>
    <w:p>
      <w:pPr>
        <w:tabs>
          <w:tab w:val="left" w:pos="720"/>
        </w:tabs>
        <w:spacing w:line="360" w:lineRule="auto"/>
        <w:ind w:firstLine="3373" w:firstLineChars="700"/>
        <w:rPr>
          <w:rFonts w:ascii="宋体" w:hAnsi="宋体"/>
          <w:b/>
          <w:sz w:val="48"/>
          <w:szCs w:val="48"/>
          <w:highlight w:val="none"/>
        </w:rPr>
      </w:pPr>
    </w:p>
    <w:p>
      <w:pPr>
        <w:tabs>
          <w:tab w:val="left" w:pos="720"/>
        </w:tabs>
        <w:spacing w:line="360" w:lineRule="auto"/>
        <w:rPr>
          <w:rFonts w:ascii="宋体"/>
          <w:b/>
          <w:szCs w:val="21"/>
          <w:highlight w:val="none"/>
        </w:rPr>
      </w:pPr>
    </w:p>
    <w:p>
      <w:pPr>
        <w:tabs>
          <w:tab w:val="left" w:pos="720"/>
        </w:tabs>
        <w:spacing w:line="360" w:lineRule="auto"/>
        <w:jc w:val="center"/>
        <w:rPr>
          <w:rFonts w:ascii="宋体"/>
          <w:b/>
          <w:sz w:val="48"/>
          <w:szCs w:val="48"/>
          <w:highlight w:val="none"/>
        </w:rPr>
      </w:pPr>
      <w:bookmarkStart w:id="138" w:name="_Toc19285_WPSOffice_Level3"/>
      <w:bookmarkStart w:id="139" w:name="_Toc20297_WPSOffice_Level2"/>
      <w:r>
        <w:rPr>
          <w:rFonts w:hint="eastAsia" w:ascii="宋体" w:hAnsi="宋体"/>
          <w:b/>
          <w:sz w:val="48"/>
          <w:szCs w:val="48"/>
          <w:highlight w:val="none"/>
        </w:rPr>
        <w:t>合　同　书</w:t>
      </w:r>
      <w:bookmarkEnd w:id="138"/>
      <w:bookmarkEnd w:id="139"/>
    </w:p>
    <w:p>
      <w:pPr>
        <w:tabs>
          <w:tab w:val="left" w:pos="720"/>
        </w:tabs>
        <w:spacing w:line="360" w:lineRule="auto"/>
        <w:rPr>
          <w:rFonts w:ascii="宋体"/>
          <w:b/>
          <w:szCs w:val="21"/>
          <w:highlight w:val="none"/>
        </w:rPr>
      </w:pPr>
    </w:p>
    <w:p>
      <w:pPr>
        <w:tabs>
          <w:tab w:val="left" w:pos="720"/>
        </w:tabs>
        <w:spacing w:line="360" w:lineRule="auto"/>
        <w:rPr>
          <w:rFonts w:ascii="宋体"/>
          <w:b/>
          <w:szCs w:val="21"/>
          <w:highlight w:val="none"/>
        </w:rPr>
      </w:pPr>
    </w:p>
    <w:p>
      <w:pPr>
        <w:tabs>
          <w:tab w:val="left" w:pos="720"/>
        </w:tabs>
        <w:spacing w:line="360" w:lineRule="auto"/>
        <w:rPr>
          <w:rFonts w:ascii="宋体"/>
          <w:b/>
          <w:szCs w:val="21"/>
          <w:highlight w:val="none"/>
        </w:rPr>
      </w:pPr>
    </w:p>
    <w:p>
      <w:pPr>
        <w:tabs>
          <w:tab w:val="left" w:pos="720"/>
        </w:tabs>
        <w:spacing w:line="360" w:lineRule="auto"/>
        <w:rPr>
          <w:rFonts w:ascii="宋体"/>
          <w:b/>
          <w:szCs w:val="21"/>
          <w:highlight w:val="none"/>
        </w:rPr>
      </w:pPr>
    </w:p>
    <w:p>
      <w:pPr>
        <w:tabs>
          <w:tab w:val="left" w:pos="720"/>
        </w:tabs>
        <w:spacing w:line="360" w:lineRule="auto"/>
        <w:rPr>
          <w:rFonts w:ascii="宋体"/>
          <w:b/>
          <w:szCs w:val="21"/>
          <w:highlight w:val="none"/>
        </w:rPr>
      </w:pPr>
    </w:p>
    <w:tbl>
      <w:tblPr>
        <w:tblStyle w:val="37"/>
        <w:tblW w:w="5400" w:type="dxa"/>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noWrap/>
          </w:tcPr>
          <w:p>
            <w:pPr>
              <w:tabs>
                <w:tab w:val="left" w:pos="720"/>
              </w:tabs>
              <w:spacing w:line="360" w:lineRule="auto"/>
              <w:rPr>
                <w:rFonts w:ascii="宋体"/>
                <w:b/>
                <w:szCs w:val="21"/>
                <w:highlight w:val="none"/>
              </w:rPr>
            </w:pPr>
            <w:r>
              <w:rPr>
                <w:rFonts w:hint="eastAsia" w:ascii="宋体" w:hAnsi="宋体"/>
                <w:b/>
                <w:szCs w:val="21"/>
                <w:highlight w:val="none"/>
              </w:rPr>
              <w:t>项目名称：</w:t>
            </w:r>
          </w:p>
        </w:tc>
      </w:tr>
    </w:tbl>
    <w:p>
      <w:pPr>
        <w:tabs>
          <w:tab w:val="left" w:pos="720"/>
        </w:tabs>
        <w:spacing w:line="360" w:lineRule="auto"/>
        <w:rPr>
          <w:rFonts w:ascii="宋体"/>
          <w:b/>
          <w:szCs w:val="21"/>
          <w:highlight w:val="none"/>
        </w:rPr>
      </w:pPr>
    </w:p>
    <w:p>
      <w:pPr>
        <w:tabs>
          <w:tab w:val="left" w:pos="720"/>
        </w:tabs>
        <w:spacing w:line="360" w:lineRule="auto"/>
        <w:rPr>
          <w:rFonts w:ascii="宋体"/>
          <w:b/>
          <w:szCs w:val="21"/>
          <w:highlight w:val="none"/>
        </w:rPr>
      </w:pPr>
    </w:p>
    <w:tbl>
      <w:tblPr>
        <w:tblStyle w:val="37"/>
        <w:tblW w:w="5400" w:type="dxa"/>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noWrap/>
          </w:tcPr>
          <w:p>
            <w:pPr>
              <w:tabs>
                <w:tab w:val="left" w:pos="720"/>
              </w:tabs>
              <w:spacing w:line="360" w:lineRule="auto"/>
              <w:rPr>
                <w:rFonts w:ascii="宋体"/>
                <w:b/>
                <w:szCs w:val="21"/>
                <w:highlight w:val="none"/>
                <w:u w:val="single"/>
              </w:rPr>
            </w:pPr>
            <w:r>
              <w:rPr>
                <w:rFonts w:hint="eastAsia" w:ascii="宋体" w:hAnsi="宋体"/>
                <w:b/>
                <w:szCs w:val="21"/>
                <w:highlight w:val="none"/>
              </w:rPr>
              <w:t>采购项目编号：</w:t>
            </w:r>
          </w:p>
        </w:tc>
      </w:tr>
      <w:tr>
        <w:tblPrEx>
          <w:tblCellMar>
            <w:top w:w="0" w:type="dxa"/>
            <w:left w:w="108" w:type="dxa"/>
            <w:bottom w:w="0" w:type="dxa"/>
            <w:right w:w="108" w:type="dxa"/>
          </w:tblCellMar>
        </w:tblPrEx>
        <w:trPr>
          <w:trHeight w:val="446" w:hRule="atLeast"/>
          <w:jc w:val="center"/>
        </w:trPr>
        <w:tc>
          <w:tcPr>
            <w:tcW w:w="5400" w:type="dxa"/>
            <w:noWrap/>
          </w:tcPr>
          <w:p>
            <w:pPr>
              <w:tabs>
                <w:tab w:val="left" w:pos="720"/>
              </w:tabs>
              <w:spacing w:line="360" w:lineRule="auto"/>
              <w:rPr>
                <w:rFonts w:ascii="宋体"/>
                <w:b/>
                <w:szCs w:val="21"/>
                <w:highlight w:val="none"/>
                <w:u w:val="single"/>
              </w:rPr>
            </w:pPr>
          </w:p>
        </w:tc>
      </w:tr>
      <w:tr>
        <w:tblPrEx>
          <w:tblCellMar>
            <w:top w:w="0" w:type="dxa"/>
            <w:left w:w="108" w:type="dxa"/>
            <w:bottom w:w="0" w:type="dxa"/>
            <w:right w:w="108" w:type="dxa"/>
          </w:tblCellMar>
        </w:tblPrEx>
        <w:trPr>
          <w:trHeight w:val="446" w:hRule="atLeast"/>
          <w:jc w:val="center"/>
        </w:trPr>
        <w:tc>
          <w:tcPr>
            <w:tcW w:w="5400" w:type="dxa"/>
            <w:noWrap/>
          </w:tcPr>
          <w:p>
            <w:pPr>
              <w:tabs>
                <w:tab w:val="left" w:pos="720"/>
              </w:tabs>
              <w:spacing w:line="360" w:lineRule="auto"/>
              <w:rPr>
                <w:rFonts w:ascii="宋体"/>
                <w:b/>
                <w:szCs w:val="21"/>
                <w:highlight w:val="none"/>
              </w:rPr>
            </w:pPr>
          </w:p>
        </w:tc>
      </w:tr>
      <w:tr>
        <w:tblPrEx>
          <w:tblCellMar>
            <w:top w:w="0" w:type="dxa"/>
            <w:left w:w="108" w:type="dxa"/>
            <w:bottom w:w="0" w:type="dxa"/>
            <w:right w:w="108" w:type="dxa"/>
          </w:tblCellMar>
        </w:tblPrEx>
        <w:trPr>
          <w:trHeight w:val="460" w:hRule="atLeast"/>
          <w:jc w:val="center"/>
        </w:trPr>
        <w:tc>
          <w:tcPr>
            <w:tcW w:w="5400" w:type="dxa"/>
            <w:noWrap/>
          </w:tcPr>
          <w:p>
            <w:pPr>
              <w:tabs>
                <w:tab w:val="left" w:pos="720"/>
              </w:tabs>
              <w:spacing w:line="360" w:lineRule="auto"/>
              <w:rPr>
                <w:rFonts w:ascii="宋体"/>
                <w:b/>
                <w:szCs w:val="21"/>
                <w:highlight w:val="none"/>
              </w:rPr>
            </w:pPr>
          </w:p>
        </w:tc>
      </w:tr>
    </w:tbl>
    <w:p>
      <w:pPr>
        <w:spacing w:line="360" w:lineRule="auto"/>
        <w:rPr>
          <w:rFonts w:ascii="宋体"/>
          <w:szCs w:val="21"/>
          <w:highlight w:val="none"/>
        </w:rPr>
      </w:pPr>
    </w:p>
    <w:p>
      <w:pPr>
        <w:spacing w:line="360" w:lineRule="auto"/>
        <w:rPr>
          <w:rFonts w:ascii="宋体"/>
          <w:b/>
          <w:szCs w:val="21"/>
          <w:highlight w:val="none"/>
        </w:rPr>
      </w:pPr>
      <w:r>
        <w:rPr>
          <w:rFonts w:hint="eastAsia" w:ascii="宋体" w:hAnsi="宋体"/>
          <w:b/>
          <w:szCs w:val="21"/>
          <w:highlight w:val="none"/>
        </w:rPr>
        <w:t>注：本合同仅为合同的参考文本，合同签订双方可根据项目的具体要求进行修订。</w:t>
      </w:r>
    </w:p>
    <w:p>
      <w:pPr>
        <w:adjustRightInd w:val="0"/>
        <w:snapToGrid w:val="0"/>
        <w:spacing w:beforeLines="50" w:line="360" w:lineRule="auto"/>
        <w:rPr>
          <w:rFonts w:ascii="宋体"/>
          <w:b/>
          <w:szCs w:val="21"/>
          <w:highlight w:val="none"/>
        </w:rPr>
      </w:pPr>
    </w:p>
    <w:p>
      <w:pPr>
        <w:adjustRightInd w:val="0"/>
        <w:snapToGrid w:val="0"/>
        <w:spacing w:beforeLines="50" w:line="360" w:lineRule="auto"/>
        <w:rPr>
          <w:rFonts w:ascii="宋体"/>
          <w:b/>
          <w:szCs w:val="21"/>
          <w:highlight w:val="none"/>
        </w:rPr>
      </w:pPr>
    </w:p>
    <w:p>
      <w:pPr>
        <w:pStyle w:val="45"/>
        <w:rPr>
          <w:rFonts w:ascii="宋体"/>
          <w:b/>
          <w:szCs w:val="21"/>
          <w:highlight w:val="none"/>
        </w:rPr>
      </w:pPr>
    </w:p>
    <w:p>
      <w:pPr>
        <w:pStyle w:val="45"/>
        <w:rPr>
          <w:rFonts w:ascii="宋体"/>
          <w:b/>
          <w:szCs w:val="21"/>
          <w:highlight w:val="none"/>
        </w:rPr>
      </w:pPr>
    </w:p>
    <w:p>
      <w:pPr>
        <w:pStyle w:val="45"/>
        <w:rPr>
          <w:rFonts w:ascii="宋体"/>
          <w:b/>
          <w:szCs w:val="21"/>
          <w:highlight w:val="none"/>
        </w:rPr>
      </w:pPr>
    </w:p>
    <w:p>
      <w:pPr>
        <w:pStyle w:val="45"/>
        <w:rPr>
          <w:rFonts w:ascii="宋体"/>
          <w:b/>
          <w:szCs w:val="21"/>
          <w:highlight w:val="none"/>
        </w:rPr>
      </w:pP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shd w:val="clear" w:fill="FFFFFF"/>
        </w:rPr>
      </w:pP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宋体" w:hAnsi="宋体" w:eastAsia="宋体" w:cs="Times New Roman"/>
          <w:b w:val="0"/>
          <w:kern w:val="2"/>
          <w:sz w:val="21"/>
          <w:szCs w:val="21"/>
          <w:highlight w:val="none"/>
          <w:lang w:val="en-US" w:eastAsia="zh-CN" w:bidi="ar-SA"/>
        </w:rPr>
      </w:pPr>
      <w:r>
        <w:rPr>
          <w:rFonts w:hint="eastAsia" w:ascii="宋体" w:hAnsi="宋体" w:eastAsia="宋体" w:cs="Times New Roman"/>
          <w:b w:val="0"/>
          <w:kern w:val="2"/>
          <w:sz w:val="21"/>
          <w:szCs w:val="21"/>
          <w:highlight w:val="none"/>
          <w:lang w:val="en-US" w:eastAsia="zh-CN" w:bidi="ar-SA"/>
        </w:rPr>
        <w:t>为了合理使用搬运费用，安全顺利完成搬运工作，经甲、乙双方认真磋商，达成以下协议。</w:t>
      </w:r>
    </w:p>
    <w:p>
      <w:pPr>
        <w:tabs>
          <w:tab w:val="left" w:pos="851"/>
        </w:tabs>
        <w:spacing w:line="360" w:lineRule="auto"/>
        <w:rPr>
          <w:rFonts w:hint="eastAsia" w:ascii="宋体" w:hAnsi="宋体"/>
          <w:b/>
          <w:szCs w:val="21"/>
          <w:highlight w:val="none"/>
          <w:lang w:eastAsia="zh-CN"/>
        </w:rPr>
      </w:pPr>
      <w:r>
        <w:rPr>
          <w:rFonts w:hint="eastAsia" w:ascii="宋体" w:hAnsi="宋体"/>
          <w:b/>
          <w:szCs w:val="21"/>
          <w:highlight w:val="none"/>
          <w:lang w:eastAsia="zh-CN"/>
        </w:rPr>
        <w:t>一、标的</w:t>
      </w:r>
    </w:p>
    <w:p>
      <w:pPr>
        <w:spacing w:line="360" w:lineRule="auto"/>
        <w:ind w:firstLine="424" w:firstLineChars="202"/>
        <w:rPr>
          <w:rFonts w:hint="eastAsia" w:ascii="宋体" w:hAnsi="宋体" w:eastAsia="宋体" w:cs="Times New Roman"/>
          <w:b w:val="0"/>
          <w:kern w:val="2"/>
          <w:sz w:val="21"/>
          <w:szCs w:val="21"/>
          <w:highlight w:val="none"/>
          <w:lang w:val="en-US" w:eastAsia="zh-CN" w:bidi="ar-SA"/>
        </w:rPr>
      </w:pPr>
      <w:r>
        <w:rPr>
          <w:rFonts w:hint="eastAsia" w:ascii="宋体" w:hAnsi="宋体"/>
          <w:szCs w:val="21"/>
          <w:highlight w:val="none"/>
        </w:rPr>
        <w:t>甲方原则同</w:t>
      </w:r>
      <w:r>
        <w:rPr>
          <w:rFonts w:hint="eastAsia" w:ascii="宋体" w:hAnsi="宋体" w:eastAsia="宋体" w:cs="Times New Roman"/>
          <w:b w:val="0"/>
          <w:kern w:val="2"/>
          <w:sz w:val="21"/>
          <w:szCs w:val="21"/>
          <w:highlight w:val="none"/>
          <w:lang w:val="en-US" w:eastAsia="zh-CN" w:bidi="ar-SA"/>
        </w:rPr>
        <w:t>意“楚雄医药高等专科学校搬运服务”</w:t>
      </w:r>
    </w:p>
    <w:p>
      <w:pPr>
        <w:spacing w:line="360" w:lineRule="auto"/>
        <w:rPr>
          <w:rFonts w:hint="eastAsia" w:ascii="宋体" w:hAnsi="宋体"/>
          <w:b/>
          <w:bCs/>
          <w:szCs w:val="21"/>
          <w:highlight w:val="none"/>
        </w:rPr>
      </w:pPr>
      <w:r>
        <w:rPr>
          <w:rFonts w:hint="eastAsia" w:ascii="宋体" w:hAnsi="宋体"/>
          <w:b/>
          <w:bCs/>
          <w:szCs w:val="21"/>
          <w:highlight w:val="none"/>
        </w:rPr>
        <w:t>二、搬运地点及时间要求</w:t>
      </w:r>
    </w:p>
    <w:p>
      <w:pPr>
        <w:spacing w:line="360" w:lineRule="auto"/>
        <w:ind w:firstLine="424" w:firstLineChars="202"/>
        <w:rPr>
          <w:rFonts w:hint="eastAsia" w:ascii="宋体" w:hAnsi="宋体"/>
          <w:szCs w:val="21"/>
          <w:highlight w:val="none"/>
        </w:rPr>
      </w:pPr>
      <w:r>
        <w:rPr>
          <w:rFonts w:hint="eastAsia" w:ascii="宋体" w:hAnsi="宋体"/>
          <w:szCs w:val="21"/>
          <w:highlight w:val="none"/>
        </w:rPr>
        <w:t>乙方接到甲方通知后，搬运车辆应当日内进入甲方指定场地乙方进场后所有</w:t>
      </w:r>
      <w:r>
        <w:rPr>
          <w:rFonts w:hint="eastAsia" w:ascii="宋体" w:hAnsi="宋体"/>
          <w:szCs w:val="21"/>
          <w:highlight w:val="none"/>
          <w:lang w:eastAsia="zh-CN"/>
        </w:rPr>
        <w:t>需</w:t>
      </w:r>
      <w:r>
        <w:rPr>
          <w:rFonts w:hint="eastAsia" w:ascii="宋体" w:hAnsi="宋体"/>
          <w:szCs w:val="21"/>
          <w:highlight w:val="none"/>
        </w:rPr>
        <w:t>搬运工作由乙方承担，(根据乙方要求甲方可以提供人员协助)。</w:t>
      </w:r>
    </w:p>
    <w:p>
      <w:pPr>
        <w:tabs>
          <w:tab w:val="left" w:pos="851"/>
        </w:tabs>
        <w:spacing w:line="360" w:lineRule="auto"/>
        <w:rPr>
          <w:rFonts w:hint="eastAsia" w:ascii="宋体" w:hAnsi="宋体"/>
          <w:b/>
          <w:szCs w:val="21"/>
          <w:highlight w:val="none"/>
          <w:lang w:eastAsia="zh-CN"/>
        </w:rPr>
      </w:pPr>
      <w:r>
        <w:rPr>
          <w:rFonts w:hint="eastAsia" w:ascii="宋体" w:hAnsi="宋体"/>
          <w:b/>
          <w:szCs w:val="21"/>
          <w:highlight w:val="none"/>
          <w:lang w:eastAsia="zh-CN"/>
        </w:rPr>
        <w:t>三、搬运</w:t>
      </w:r>
    </w:p>
    <w:p>
      <w:pPr>
        <w:spacing w:line="360" w:lineRule="auto"/>
        <w:ind w:firstLine="424" w:firstLineChars="202"/>
        <w:rPr>
          <w:rFonts w:hint="eastAsia" w:ascii="宋体" w:hAnsi="宋体"/>
          <w:szCs w:val="21"/>
          <w:highlight w:val="none"/>
        </w:rPr>
      </w:pPr>
      <w:r>
        <w:rPr>
          <w:rFonts w:hint="eastAsia" w:ascii="宋体" w:hAnsi="宋体"/>
          <w:szCs w:val="21"/>
          <w:highlight w:val="none"/>
        </w:rPr>
        <w:t>搬运之前由甲乙双方共同检验设备有无损坏之处。乙方必须选用合适的车进行搬运，并按甲方指定的摆放地点搬运到位，以确保搬运过程中的</w:t>
      </w:r>
      <w:r>
        <w:rPr>
          <w:rFonts w:hint="eastAsia" w:ascii="宋体" w:hAnsi="宋体"/>
          <w:szCs w:val="21"/>
          <w:highlight w:val="none"/>
          <w:lang w:eastAsia="zh-CN"/>
        </w:rPr>
        <w:t>物品</w:t>
      </w:r>
      <w:r>
        <w:rPr>
          <w:rFonts w:hint="eastAsia" w:ascii="宋体" w:hAnsi="宋体"/>
          <w:szCs w:val="21"/>
          <w:highlight w:val="none"/>
        </w:rPr>
        <w:t>安全。如因乙方在搬运过程中造成</w:t>
      </w:r>
      <w:r>
        <w:rPr>
          <w:rFonts w:hint="eastAsia" w:ascii="宋体" w:hAnsi="宋体"/>
          <w:szCs w:val="21"/>
          <w:highlight w:val="none"/>
          <w:lang w:eastAsia="zh-CN"/>
        </w:rPr>
        <w:t>物品</w:t>
      </w:r>
      <w:r>
        <w:rPr>
          <w:rFonts w:hint="eastAsia" w:ascii="宋体" w:hAnsi="宋体"/>
          <w:szCs w:val="21"/>
          <w:highlight w:val="none"/>
        </w:rPr>
        <w:t>损坏及由乙方责任造成对我</w:t>
      </w:r>
      <w:r>
        <w:rPr>
          <w:rFonts w:hint="eastAsia" w:ascii="宋体" w:hAnsi="宋体"/>
          <w:szCs w:val="21"/>
          <w:highlight w:val="none"/>
          <w:lang w:eastAsia="zh-CN"/>
        </w:rPr>
        <w:t>校</w:t>
      </w:r>
      <w:r>
        <w:rPr>
          <w:rFonts w:hint="eastAsia" w:ascii="宋体" w:hAnsi="宋体"/>
          <w:szCs w:val="21"/>
          <w:highlight w:val="none"/>
        </w:rPr>
        <w:t>内其它物品的损坏、人员的人身伤害，由甲方根据实际损坏估价，乙方来赔偿。在搬运过程中如果发生由乙方责任造成对乙方人员的人身伤害，一切损失由乙方自己承担。</w:t>
      </w:r>
    </w:p>
    <w:p>
      <w:pPr>
        <w:spacing w:line="360" w:lineRule="auto"/>
        <w:rPr>
          <w:rFonts w:hint="eastAsia" w:ascii="宋体" w:hAnsi="宋体"/>
          <w:b/>
          <w:bCs/>
          <w:szCs w:val="21"/>
          <w:highlight w:val="none"/>
        </w:rPr>
      </w:pPr>
      <w:r>
        <w:rPr>
          <w:rFonts w:hint="eastAsia" w:ascii="宋体" w:hAnsi="宋体"/>
          <w:b/>
          <w:bCs/>
          <w:szCs w:val="21"/>
          <w:highlight w:val="none"/>
          <w:lang w:eastAsia="zh-CN"/>
        </w:rPr>
        <w:t>四</w:t>
      </w:r>
      <w:r>
        <w:rPr>
          <w:rFonts w:hint="eastAsia" w:ascii="宋体" w:hAnsi="宋体"/>
          <w:b/>
          <w:bCs/>
          <w:szCs w:val="21"/>
          <w:highlight w:val="none"/>
        </w:rPr>
        <w:t>、验收要求</w:t>
      </w:r>
    </w:p>
    <w:p>
      <w:pPr>
        <w:numPr>
          <w:ilvl w:val="0"/>
          <w:numId w:val="0"/>
        </w:numPr>
        <w:spacing w:line="360" w:lineRule="auto"/>
        <w:ind w:firstLine="420" w:firstLineChars="200"/>
        <w:rPr>
          <w:rFonts w:hint="eastAsia" w:ascii="宋体" w:hAnsi="宋体"/>
          <w:szCs w:val="21"/>
          <w:highlight w:val="none"/>
        </w:rPr>
      </w:pPr>
      <w:r>
        <w:rPr>
          <w:rFonts w:hint="eastAsia" w:ascii="宋体" w:hAnsi="宋体"/>
          <w:szCs w:val="21"/>
          <w:highlight w:val="none"/>
        </w:rPr>
        <w:t>乙方按甲方的要求搬运到指定地点后，设备外观是否和在搬运之前一样，有无撞击和其它情况造成的损坏部位。</w:t>
      </w:r>
    </w:p>
    <w:p>
      <w:pPr>
        <w:spacing w:line="360" w:lineRule="auto"/>
        <w:rPr>
          <w:rFonts w:hint="eastAsia" w:ascii="宋体" w:hAnsi="宋体"/>
          <w:b/>
          <w:bCs/>
          <w:szCs w:val="21"/>
          <w:highlight w:val="none"/>
        </w:rPr>
      </w:pPr>
      <w:r>
        <w:rPr>
          <w:rFonts w:hint="eastAsia" w:ascii="宋体" w:hAnsi="宋体"/>
          <w:b/>
          <w:bCs/>
          <w:szCs w:val="21"/>
          <w:highlight w:val="none"/>
          <w:lang w:eastAsia="zh-CN"/>
        </w:rPr>
        <w:t>五</w:t>
      </w:r>
      <w:r>
        <w:rPr>
          <w:rFonts w:hint="eastAsia" w:ascii="宋体" w:hAnsi="宋体"/>
          <w:b/>
          <w:bCs/>
          <w:szCs w:val="21"/>
          <w:highlight w:val="none"/>
        </w:rPr>
        <w:t>、付款方式</w:t>
      </w:r>
    </w:p>
    <w:p>
      <w:pPr>
        <w:spacing w:line="360" w:lineRule="auto"/>
        <w:ind w:firstLine="424" w:firstLineChars="202"/>
        <w:rPr>
          <w:rFonts w:hint="eastAsia" w:ascii="宋体" w:hAnsi="宋体"/>
          <w:szCs w:val="21"/>
          <w:highlight w:val="none"/>
        </w:rPr>
      </w:pPr>
      <w:r>
        <w:rPr>
          <w:rFonts w:hint="eastAsia" w:ascii="宋体" w:hAnsi="宋体"/>
          <w:szCs w:val="21"/>
          <w:highlight w:val="none"/>
        </w:rPr>
        <w:t>　乙方按照甲方的要求搬运到指定地点后，经甲方验收设备完好并搬运到指定地点，收到正式发票后支付全款。</w:t>
      </w:r>
    </w:p>
    <w:p>
      <w:pPr>
        <w:tabs>
          <w:tab w:val="left" w:pos="851"/>
        </w:tabs>
        <w:spacing w:line="360" w:lineRule="auto"/>
        <w:rPr>
          <w:rFonts w:ascii="宋体"/>
          <w:b/>
          <w:szCs w:val="21"/>
          <w:highlight w:val="none"/>
        </w:rPr>
      </w:pPr>
      <w:bookmarkStart w:id="140" w:name="_Toc16316_WPSOffice_Level2"/>
      <w:bookmarkStart w:id="141" w:name="_Toc13234_WPSOffice_Level1"/>
      <w:r>
        <w:rPr>
          <w:rFonts w:hint="eastAsia" w:ascii="宋体" w:hAnsi="宋体"/>
          <w:b/>
          <w:szCs w:val="21"/>
          <w:highlight w:val="none"/>
          <w:lang w:eastAsia="zh-CN"/>
        </w:rPr>
        <w:t>六</w:t>
      </w:r>
      <w:r>
        <w:rPr>
          <w:rFonts w:hint="eastAsia" w:ascii="宋体" w:hAnsi="宋体"/>
          <w:b/>
          <w:szCs w:val="21"/>
          <w:highlight w:val="none"/>
        </w:rPr>
        <w:t>、争议的解决</w:t>
      </w:r>
      <w:bookmarkEnd w:id="140"/>
      <w:bookmarkEnd w:id="141"/>
    </w:p>
    <w:p>
      <w:pPr>
        <w:tabs>
          <w:tab w:val="left" w:pos="851"/>
        </w:tabs>
        <w:spacing w:line="360" w:lineRule="auto"/>
        <w:rPr>
          <w:rFonts w:ascii="宋体"/>
          <w:szCs w:val="21"/>
          <w:highlight w:val="none"/>
        </w:rPr>
      </w:pPr>
      <w:r>
        <w:rPr>
          <w:rFonts w:hint="eastAsia" w:ascii="宋体" w:hAnsi="宋体"/>
          <w:szCs w:val="21"/>
          <w:highlight w:val="none"/>
        </w:rPr>
        <w:t xml:space="preserve">    合同执行过程中发生的任何争议，如双方不能通过友好协商解决，按相关法律法规处理。</w:t>
      </w:r>
    </w:p>
    <w:p>
      <w:pPr>
        <w:tabs>
          <w:tab w:val="left" w:pos="851"/>
        </w:tabs>
        <w:spacing w:line="360" w:lineRule="auto"/>
        <w:rPr>
          <w:rFonts w:ascii="宋体"/>
          <w:b/>
          <w:szCs w:val="21"/>
          <w:highlight w:val="none"/>
        </w:rPr>
      </w:pPr>
      <w:bookmarkStart w:id="142" w:name="_Toc32013_WPSOffice_Level2"/>
      <w:bookmarkStart w:id="143" w:name="_Toc21358_WPSOffice_Level1"/>
      <w:r>
        <w:rPr>
          <w:rFonts w:hint="eastAsia" w:ascii="宋体" w:hAnsi="宋体"/>
          <w:b/>
          <w:szCs w:val="21"/>
          <w:highlight w:val="none"/>
          <w:lang w:eastAsia="zh-CN"/>
        </w:rPr>
        <w:t>七</w:t>
      </w:r>
      <w:r>
        <w:rPr>
          <w:rFonts w:hint="eastAsia" w:ascii="宋体" w:hAnsi="宋体"/>
          <w:b/>
          <w:szCs w:val="21"/>
          <w:highlight w:val="none"/>
        </w:rPr>
        <w:t>、不可抗力</w:t>
      </w:r>
      <w:bookmarkEnd w:id="142"/>
      <w:bookmarkEnd w:id="143"/>
    </w:p>
    <w:p>
      <w:pPr>
        <w:tabs>
          <w:tab w:val="left" w:pos="851"/>
        </w:tabs>
        <w:spacing w:line="360" w:lineRule="auto"/>
        <w:rPr>
          <w:rFonts w:ascii="宋体"/>
          <w:szCs w:val="21"/>
          <w:highlight w:val="none"/>
        </w:rPr>
      </w:pPr>
      <w:r>
        <w:rPr>
          <w:rFonts w:ascii="宋体" w:hAnsi="宋体"/>
          <w:szCs w:val="21"/>
          <w:highlight w:val="none"/>
        </w:rPr>
        <w:t>1.</w:t>
      </w:r>
      <w:r>
        <w:rPr>
          <w:rFonts w:hint="eastAsia" w:ascii="宋体" w:hAnsi="宋体"/>
          <w:szCs w:val="21"/>
          <w:highlight w:val="none"/>
        </w:rPr>
        <w:t>任何一方由于不可抗力原因不能履行合同时，应在不可抗力事件结束后</w:t>
      </w:r>
      <w:r>
        <w:rPr>
          <w:rFonts w:ascii="宋体" w:hAnsi="宋体"/>
          <w:szCs w:val="21"/>
          <w:highlight w:val="none"/>
        </w:rPr>
        <w:t>1</w:t>
      </w:r>
      <w:r>
        <w:rPr>
          <w:rFonts w:hint="eastAsia" w:ascii="宋体" w:hAnsi="宋体"/>
          <w:szCs w:val="21"/>
          <w:highlight w:val="none"/>
        </w:rPr>
        <w:t>日内向对方通报，以减轻可能给对方造成的损失，在取得有关机构的不可抗力证明或双方谅解确认后，允许延期履行或修订合同，并根据情况可部分或全部免于承担违约责任。</w:t>
      </w:r>
    </w:p>
    <w:p>
      <w:pPr>
        <w:tabs>
          <w:tab w:val="left" w:pos="851"/>
        </w:tabs>
        <w:spacing w:line="360" w:lineRule="auto"/>
        <w:rPr>
          <w:rFonts w:ascii="宋体"/>
          <w:szCs w:val="21"/>
          <w:highlight w:val="none"/>
        </w:rPr>
      </w:pPr>
      <w:bookmarkStart w:id="144" w:name="_Toc19385_WPSOffice_Level2"/>
      <w:bookmarkStart w:id="145" w:name="_Toc23491_WPSOffice_Level1"/>
      <w:r>
        <w:rPr>
          <w:rFonts w:hint="eastAsia" w:ascii="宋体" w:hAnsi="宋体"/>
          <w:b/>
          <w:szCs w:val="21"/>
          <w:highlight w:val="none"/>
          <w:lang w:eastAsia="zh-CN"/>
        </w:rPr>
        <w:t>八</w:t>
      </w:r>
      <w:r>
        <w:rPr>
          <w:rFonts w:hint="eastAsia" w:ascii="宋体" w:hAnsi="宋体"/>
          <w:b/>
          <w:szCs w:val="21"/>
          <w:highlight w:val="none"/>
        </w:rPr>
        <w:t>、税费</w:t>
      </w:r>
      <w:bookmarkEnd w:id="144"/>
      <w:bookmarkEnd w:id="145"/>
    </w:p>
    <w:p>
      <w:pPr>
        <w:tabs>
          <w:tab w:val="left" w:pos="851"/>
        </w:tabs>
        <w:spacing w:line="360" w:lineRule="auto"/>
        <w:ind w:left="851" w:hanging="851"/>
        <w:rPr>
          <w:rFonts w:ascii="宋体"/>
          <w:szCs w:val="21"/>
          <w:highlight w:val="none"/>
        </w:rPr>
      </w:pPr>
      <w:r>
        <w:rPr>
          <w:rFonts w:hint="eastAsia" w:ascii="宋体" w:hAnsi="宋体"/>
          <w:szCs w:val="21"/>
          <w:highlight w:val="none"/>
        </w:rPr>
        <w:t xml:space="preserve">    在中国境内、外发生的与本合同执行有关的一切税费均由乙方负担。</w:t>
      </w:r>
    </w:p>
    <w:p>
      <w:pPr>
        <w:tabs>
          <w:tab w:val="left" w:pos="851"/>
        </w:tabs>
        <w:spacing w:line="360" w:lineRule="auto"/>
        <w:rPr>
          <w:rFonts w:ascii="宋体"/>
          <w:b/>
          <w:szCs w:val="21"/>
          <w:highlight w:val="none"/>
        </w:rPr>
      </w:pPr>
      <w:bookmarkStart w:id="146" w:name="_Toc11294_WPSOffice_Level1"/>
      <w:bookmarkStart w:id="147" w:name="_Toc21387_WPSOffice_Level2"/>
      <w:r>
        <w:rPr>
          <w:rFonts w:hint="eastAsia" w:ascii="宋体" w:hAnsi="宋体"/>
          <w:b/>
          <w:szCs w:val="21"/>
          <w:highlight w:val="none"/>
          <w:lang w:eastAsia="zh-CN"/>
        </w:rPr>
        <w:t>九</w:t>
      </w:r>
      <w:r>
        <w:rPr>
          <w:rFonts w:hint="eastAsia" w:ascii="宋体" w:hAnsi="宋体"/>
          <w:b/>
          <w:szCs w:val="21"/>
          <w:highlight w:val="none"/>
        </w:rPr>
        <w:t>、其</w:t>
      </w:r>
      <w:bookmarkEnd w:id="146"/>
      <w:bookmarkEnd w:id="147"/>
      <w:r>
        <w:rPr>
          <w:rFonts w:hint="eastAsia" w:ascii="宋体" w:hAnsi="宋体"/>
          <w:b/>
          <w:szCs w:val="21"/>
          <w:highlight w:val="none"/>
        </w:rPr>
        <w:t>他</w:t>
      </w:r>
    </w:p>
    <w:p>
      <w:pPr>
        <w:tabs>
          <w:tab w:val="left" w:pos="-540"/>
        </w:tabs>
        <w:spacing w:line="360" w:lineRule="auto"/>
        <w:ind w:left="-10" w:leftChars="-5" w:firstLine="8" w:firstLineChars="4"/>
        <w:rPr>
          <w:rFonts w:ascii="宋体"/>
          <w:szCs w:val="21"/>
          <w:highlight w:val="none"/>
        </w:rPr>
      </w:pPr>
      <w:r>
        <w:rPr>
          <w:rFonts w:ascii="宋体" w:hAnsi="宋体"/>
          <w:szCs w:val="21"/>
          <w:highlight w:val="none"/>
        </w:rPr>
        <w:t>1.</w:t>
      </w:r>
      <w:r>
        <w:rPr>
          <w:rFonts w:hint="eastAsia" w:ascii="宋体" w:hAnsi="宋体"/>
          <w:szCs w:val="21"/>
          <w:highlight w:val="none"/>
        </w:rPr>
        <w:t>本合同所有附件、谈判文件、谈判文件、成交通知书均为合同的有效组成部分，与本合同具有同等法律效力。</w:t>
      </w:r>
    </w:p>
    <w:p>
      <w:pPr>
        <w:tabs>
          <w:tab w:val="left" w:pos="-540"/>
        </w:tabs>
        <w:spacing w:line="360" w:lineRule="auto"/>
        <w:ind w:left="-10" w:leftChars="-5" w:firstLine="8" w:firstLineChars="4"/>
        <w:rPr>
          <w:rFonts w:ascii="宋体"/>
          <w:szCs w:val="21"/>
          <w:highlight w:val="none"/>
        </w:rPr>
      </w:pPr>
      <w:r>
        <w:rPr>
          <w:rFonts w:ascii="宋体" w:hAnsi="宋体"/>
          <w:szCs w:val="21"/>
          <w:highlight w:val="none"/>
        </w:rPr>
        <w:t>2.</w:t>
      </w:r>
      <w:r>
        <w:rPr>
          <w:rFonts w:hint="eastAsia" w:ascii="宋体" w:hAnsi="宋体"/>
          <w:szCs w:val="21"/>
          <w:highlight w:val="none"/>
        </w:rPr>
        <w:t>在执行本合同的过程中，所有经双方签署确认的文件（包括会议纪要、补充协议、往来信函）即成为本合同的有效组成部分。</w:t>
      </w:r>
    </w:p>
    <w:p>
      <w:pPr>
        <w:tabs>
          <w:tab w:val="left" w:pos="-540"/>
        </w:tabs>
        <w:spacing w:line="360" w:lineRule="auto"/>
        <w:ind w:left="-10" w:leftChars="-5" w:firstLine="8" w:firstLineChars="4"/>
        <w:rPr>
          <w:rFonts w:ascii="宋体"/>
          <w:szCs w:val="21"/>
          <w:highlight w:val="none"/>
        </w:rPr>
      </w:pPr>
      <w:r>
        <w:rPr>
          <w:rFonts w:ascii="宋体" w:hAnsi="宋体"/>
          <w:szCs w:val="21"/>
          <w:highlight w:val="none"/>
        </w:rPr>
        <w:t>3.</w:t>
      </w:r>
      <w:r>
        <w:rPr>
          <w:rFonts w:hint="eastAsia" w:ascii="宋体" w:hAnsi="宋体"/>
          <w:szCs w:val="21"/>
          <w:highlight w:val="none"/>
        </w:rPr>
        <w:t>如一方地址、电话、传真号码有变更，应在变更当日内书面通知对方，否则，应承担相应责任。</w:t>
      </w:r>
    </w:p>
    <w:p>
      <w:pPr>
        <w:tabs>
          <w:tab w:val="left" w:pos="-540"/>
        </w:tabs>
        <w:spacing w:line="360" w:lineRule="auto"/>
        <w:ind w:left="-10" w:leftChars="-5" w:firstLine="8" w:firstLineChars="4"/>
        <w:rPr>
          <w:rFonts w:ascii="宋体"/>
          <w:szCs w:val="21"/>
          <w:highlight w:val="none"/>
        </w:rPr>
      </w:pPr>
      <w:r>
        <w:rPr>
          <w:rFonts w:ascii="宋体" w:hAnsi="宋体"/>
          <w:szCs w:val="21"/>
          <w:highlight w:val="none"/>
        </w:rPr>
        <w:t>4.</w:t>
      </w:r>
      <w:r>
        <w:rPr>
          <w:rFonts w:hint="eastAsia" w:ascii="宋体" w:hAnsi="宋体"/>
          <w:szCs w:val="21"/>
          <w:highlight w:val="none"/>
        </w:rPr>
        <w:t>除甲方事先书面同意外，乙方不得部分或全部转让其应履行的合同项下的义务。</w:t>
      </w:r>
    </w:p>
    <w:p>
      <w:pPr>
        <w:tabs>
          <w:tab w:val="left" w:pos="851"/>
        </w:tabs>
        <w:spacing w:line="360" w:lineRule="auto"/>
        <w:rPr>
          <w:rFonts w:ascii="宋体"/>
          <w:b/>
          <w:szCs w:val="21"/>
          <w:highlight w:val="none"/>
        </w:rPr>
      </w:pPr>
      <w:bookmarkStart w:id="148" w:name="_Toc24366_WPSOffice_Level1"/>
      <w:bookmarkStart w:id="149" w:name="_Toc2435_WPSOffice_Level2"/>
      <w:r>
        <w:rPr>
          <w:rFonts w:hint="eastAsia" w:ascii="宋体" w:hAnsi="宋体"/>
          <w:b/>
          <w:szCs w:val="21"/>
          <w:highlight w:val="none"/>
          <w:lang w:eastAsia="zh-CN"/>
        </w:rPr>
        <w:t>十</w:t>
      </w:r>
      <w:r>
        <w:rPr>
          <w:rFonts w:hint="eastAsia" w:ascii="宋体" w:hAnsi="宋体"/>
          <w:b/>
          <w:szCs w:val="21"/>
          <w:highlight w:val="none"/>
        </w:rPr>
        <w:t>、合同生效</w:t>
      </w:r>
      <w:bookmarkEnd w:id="148"/>
      <w:bookmarkEnd w:id="149"/>
    </w:p>
    <w:p>
      <w:pPr>
        <w:tabs>
          <w:tab w:val="left" w:pos="851"/>
        </w:tabs>
        <w:spacing w:line="360" w:lineRule="auto"/>
        <w:ind w:left="851" w:hanging="851"/>
        <w:rPr>
          <w:rFonts w:ascii="宋体"/>
          <w:szCs w:val="21"/>
          <w:highlight w:val="none"/>
        </w:rPr>
      </w:pPr>
      <w:bookmarkStart w:id="150" w:name="_Toc22115_WPSOffice_Level3"/>
      <w:bookmarkStart w:id="151" w:name="_Toc16751_WPSOffice_Level2"/>
      <w:r>
        <w:rPr>
          <w:rFonts w:ascii="宋体" w:hAnsi="宋体"/>
          <w:szCs w:val="21"/>
          <w:highlight w:val="none"/>
        </w:rPr>
        <w:t>1.</w:t>
      </w:r>
      <w:r>
        <w:rPr>
          <w:rFonts w:hint="eastAsia" w:ascii="宋体" w:hAnsi="宋体"/>
          <w:szCs w:val="21"/>
          <w:highlight w:val="none"/>
        </w:rPr>
        <w:t>本合同在甲乙双方法人代表或其授权代表签字盖章后生效。</w:t>
      </w:r>
      <w:bookmarkEnd w:id="150"/>
      <w:bookmarkEnd w:id="151"/>
    </w:p>
    <w:p>
      <w:pPr>
        <w:tabs>
          <w:tab w:val="left" w:pos="851"/>
        </w:tabs>
        <w:spacing w:line="360" w:lineRule="auto"/>
        <w:ind w:left="851" w:hanging="851"/>
        <w:rPr>
          <w:rFonts w:ascii="宋体"/>
          <w:szCs w:val="21"/>
          <w:highlight w:val="none"/>
        </w:rPr>
      </w:pPr>
      <w:bookmarkStart w:id="152" w:name="_Toc8111_WPSOffice_Level3"/>
      <w:bookmarkStart w:id="153" w:name="_Toc3720_WPSOffice_Level2"/>
      <w:r>
        <w:rPr>
          <w:rFonts w:ascii="宋体" w:hAnsi="宋体"/>
          <w:szCs w:val="21"/>
          <w:highlight w:val="none"/>
        </w:rPr>
        <w:t>2.</w:t>
      </w:r>
      <w:r>
        <w:rPr>
          <w:rFonts w:hint="eastAsia" w:ascii="宋体" w:hAnsi="宋体"/>
          <w:szCs w:val="21"/>
          <w:highlight w:val="none"/>
        </w:rPr>
        <w:t>合同一式    份。</w:t>
      </w:r>
      <w:bookmarkEnd w:id="152"/>
      <w:bookmarkEnd w:id="153"/>
    </w:p>
    <w:p>
      <w:pPr>
        <w:rPr>
          <w:highlight w:val="none"/>
        </w:rPr>
      </w:pPr>
      <w:r>
        <w:rPr>
          <w:rFonts w:hint="eastAsia" w:ascii="宋体" w:hAnsi="宋体"/>
          <w:szCs w:val="21"/>
          <w:highlight w:val="none"/>
        </w:rPr>
        <w:t>合同订立时间：   年  月   日</w:t>
      </w:r>
    </w:p>
    <w:p>
      <w:pPr>
        <w:adjustRightInd w:val="0"/>
        <w:snapToGrid w:val="0"/>
        <w:spacing w:beforeLines="50" w:line="360" w:lineRule="auto"/>
        <w:rPr>
          <w:rFonts w:ascii="宋体"/>
          <w:szCs w:val="21"/>
          <w:highlight w:val="none"/>
        </w:rPr>
      </w:pPr>
      <w:r>
        <w:rPr>
          <w:rFonts w:hint="eastAsia" w:ascii="宋体" w:hAnsi="宋体"/>
          <w:szCs w:val="21"/>
          <w:highlight w:val="none"/>
        </w:rPr>
        <w:t>合同订立地点：</w:t>
      </w:r>
    </w:p>
    <w:p>
      <w:pPr>
        <w:adjustRightInd w:val="0"/>
        <w:snapToGrid w:val="0"/>
        <w:spacing w:beforeLines="50" w:line="360" w:lineRule="auto"/>
        <w:rPr>
          <w:rFonts w:ascii="宋体"/>
          <w:szCs w:val="21"/>
          <w:highlight w:val="none"/>
        </w:rPr>
      </w:pPr>
    </w:p>
    <w:p>
      <w:pPr>
        <w:pStyle w:val="13"/>
        <w:spacing w:line="360" w:lineRule="auto"/>
        <w:ind w:firstLine="480" w:firstLineChars="200"/>
        <w:rPr>
          <w:highlight w:val="none"/>
        </w:rPr>
      </w:pPr>
    </w:p>
    <w:tbl>
      <w:tblPr>
        <w:tblStyle w:val="37"/>
        <w:tblW w:w="8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4"/>
        <w:gridCol w:w="4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9" w:hRule="atLeast"/>
        </w:trPr>
        <w:tc>
          <w:tcPr>
            <w:tcW w:w="4874" w:type="dxa"/>
            <w:noWrap/>
          </w:tcPr>
          <w:p>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甲方（盖章）：</w:t>
            </w:r>
          </w:p>
          <w:p>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法定代表人：</w:t>
            </w:r>
          </w:p>
          <w:p>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委托代理人：</w:t>
            </w:r>
          </w:p>
          <w:p>
            <w:pPr>
              <w:adjustRightInd w:val="0"/>
              <w:snapToGrid w:val="0"/>
              <w:spacing w:beforeLines="50" w:line="360" w:lineRule="auto"/>
              <w:ind w:firstLine="420" w:firstLineChars="200"/>
              <w:rPr>
                <w:rFonts w:ascii="宋体" w:hAnsi="宋体"/>
                <w:szCs w:val="21"/>
                <w:highlight w:val="none"/>
                <w:u w:val="single"/>
              </w:rPr>
            </w:pPr>
            <w:r>
              <w:rPr>
                <w:rFonts w:hint="eastAsia" w:ascii="宋体" w:hAnsi="宋体"/>
                <w:szCs w:val="21"/>
                <w:highlight w:val="none"/>
              </w:rPr>
              <w:t>联系电话：</w:t>
            </w:r>
          </w:p>
          <w:p>
            <w:pPr>
              <w:adjustRightInd w:val="0"/>
              <w:snapToGrid w:val="0"/>
              <w:spacing w:beforeLines="50" w:line="360" w:lineRule="auto"/>
              <w:ind w:firstLine="420" w:firstLineChars="200"/>
              <w:rPr>
                <w:rFonts w:ascii="宋体" w:hAnsi="宋体"/>
                <w:szCs w:val="21"/>
                <w:highlight w:val="none"/>
                <w:u w:val="single"/>
              </w:rPr>
            </w:pPr>
            <w:r>
              <w:rPr>
                <w:rFonts w:hint="eastAsia" w:ascii="宋体" w:hAnsi="宋体"/>
                <w:szCs w:val="21"/>
                <w:highlight w:val="none"/>
              </w:rPr>
              <w:t>单位地址：</w:t>
            </w:r>
          </w:p>
          <w:p>
            <w:pPr>
              <w:adjustRightInd w:val="0"/>
              <w:snapToGrid w:val="0"/>
              <w:spacing w:beforeLines="50" w:line="360" w:lineRule="auto"/>
              <w:ind w:firstLine="420" w:firstLineChars="200"/>
              <w:rPr>
                <w:rFonts w:ascii="宋体" w:hAnsi="宋体"/>
                <w:szCs w:val="21"/>
                <w:highlight w:val="none"/>
              </w:rPr>
            </w:pPr>
          </w:p>
        </w:tc>
        <w:tc>
          <w:tcPr>
            <w:tcW w:w="4078" w:type="dxa"/>
            <w:noWrap/>
          </w:tcPr>
          <w:p>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乙方（盖章）：</w:t>
            </w:r>
          </w:p>
          <w:p>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法定代表人：</w:t>
            </w:r>
          </w:p>
          <w:p>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委托代理人：</w:t>
            </w:r>
          </w:p>
          <w:p>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联系电话：</w:t>
            </w:r>
          </w:p>
          <w:p>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单位地址：</w:t>
            </w:r>
          </w:p>
          <w:p>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开户银行：</w:t>
            </w:r>
          </w:p>
          <w:p>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9" w:hRule="atLeast"/>
        </w:trPr>
        <w:tc>
          <w:tcPr>
            <w:tcW w:w="4874" w:type="dxa"/>
            <w:noWrap/>
          </w:tcPr>
          <w:p>
            <w:pPr>
              <w:adjustRightInd w:val="0"/>
              <w:snapToGrid w:val="0"/>
              <w:spacing w:beforeLines="50" w:line="360" w:lineRule="auto"/>
              <w:ind w:firstLine="210" w:firstLineChars="100"/>
              <w:rPr>
                <w:rFonts w:ascii="宋体" w:hAnsi="宋体"/>
                <w:szCs w:val="21"/>
                <w:highlight w:val="none"/>
              </w:rPr>
            </w:pPr>
            <w:r>
              <w:rPr>
                <w:rFonts w:hint="eastAsia" w:ascii="宋体" w:hAnsi="宋体"/>
                <w:szCs w:val="21"/>
                <w:highlight w:val="none"/>
              </w:rPr>
              <w:t xml:space="preserve">采购代理机构（盖章）：    </w:t>
            </w:r>
          </w:p>
          <w:p>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鉴证经办人（签字）：</w:t>
            </w:r>
          </w:p>
          <w:p>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联系电话：</w:t>
            </w:r>
          </w:p>
        </w:tc>
        <w:tc>
          <w:tcPr>
            <w:tcW w:w="4078" w:type="dxa"/>
            <w:noWrap/>
          </w:tcPr>
          <w:p>
            <w:pPr>
              <w:adjustRightInd w:val="0"/>
              <w:snapToGrid w:val="0"/>
              <w:spacing w:beforeLines="50" w:line="360" w:lineRule="auto"/>
              <w:rPr>
                <w:rFonts w:ascii="宋体" w:hAnsi="宋体"/>
                <w:szCs w:val="21"/>
                <w:highlight w:val="none"/>
              </w:rPr>
            </w:pPr>
            <w:r>
              <w:rPr>
                <w:rFonts w:hint="eastAsia" w:ascii="宋体" w:hAnsi="宋体"/>
                <w:szCs w:val="21"/>
                <w:highlight w:val="none"/>
              </w:rPr>
              <w:t>政府采购监督管理部门（盖章）：</w:t>
            </w:r>
          </w:p>
          <w:p>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备案经办人（签字）：</w:t>
            </w:r>
          </w:p>
          <w:p>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联系电话：</w:t>
            </w:r>
          </w:p>
          <w:p>
            <w:pPr>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备案时间：</w:t>
            </w:r>
          </w:p>
        </w:tc>
      </w:tr>
    </w:tbl>
    <w:p>
      <w:pPr>
        <w:pStyle w:val="13"/>
        <w:rPr>
          <w:highlight w:val="none"/>
        </w:rPr>
      </w:pPr>
    </w:p>
    <w:p>
      <w:pPr>
        <w:pStyle w:val="17"/>
        <w:tabs>
          <w:tab w:val="left" w:pos="1620"/>
        </w:tabs>
        <w:adjustRightInd w:val="0"/>
        <w:snapToGrid w:val="0"/>
        <w:spacing w:line="360" w:lineRule="auto"/>
        <w:ind w:left="-88" w:leftChars="-42"/>
        <w:jc w:val="center"/>
        <w:rPr>
          <w:rFonts w:ascii="黑体" w:hAnsi="华文中宋" w:eastAsia="黑体"/>
          <w:bCs/>
          <w:sz w:val="32"/>
          <w:szCs w:val="32"/>
          <w:highlight w:val="none"/>
        </w:rPr>
      </w:pPr>
    </w:p>
    <w:p>
      <w:pPr>
        <w:pStyle w:val="17"/>
        <w:tabs>
          <w:tab w:val="left" w:pos="1620"/>
        </w:tabs>
        <w:adjustRightInd w:val="0"/>
        <w:snapToGrid w:val="0"/>
        <w:spacing w:line="360" w:lineRule="auto"/>
        <w:ind w:left="-88" w:leftChars="-42"/>
        <w:jc w:val="center"/>
        <w:rPr>
          <w:rFonts w:ascii="黑体" w:hAnsi="华文中宋" w:eastAsia="黑体"/>
          <w:bCs/>
          <w:sz w:val="32"/>
          <w:szCs w:val="32"/>
          <w:highlight w:val="none"/>
        </w:rPr>
      </w:pPr>
    </w:p>
    <w:p>
      <w:pPr>
        <w:pStyle w:val="17"/>
        <w:tabs>
          <w:tab w:val="left" w:pos="1620"/>
        </w:tabs>
        <w:adjustRightInd w:val="0"/>
        <w:snapToGrid w:val="0"/>
        <w:spacing w:line="360" w:lineRule="auto"/>
        <w:ind w:left="-88" w:leftChars="-42"/>
        <w:jc w:val="center"/>
        <w:rPr>
          <w:rFonts w:ascii="黑体" w:hAnsi="华文中宋" w:eastAsia="黑体"/>
          <w:bCs/>
          <w:sz w:val="32"/>
          <w:szCs w:val="32"/>
          <w:highlight w:val="none"/>
        </w:rPr>
      </w:pPr>
    </w:p>
    <w:p>
      <w:pPr>
        <w:pStyle w:val="17"/>
        <w:tabs>
          <w:tab w:val="left" w:pos="1620"/>
        </w:tabs>
        <w:adjustRightInd w:val="0"/>
        <w:snapToGrid w:val="0"/>
        <w:spacing w:line="360" w:lineRule="auto"/>
        <w:ind w:left="-88" w:leftChars="-42"/>
        <w:jc w:val="center"/>
        <w:rPr>
          <w:rFonts w:ascii="黑体" w:hAnsi="华文中宋" w:eastAsia="黑体"/>
          <w:bCs/>
          <w:sz w:val="32"/>
          <w:szCs w:val="32"/>
          <w:highlight w:val="none"/>
        </w:rPr>
      </w:pPr>
    </w:p>
    <w:p>
      <w:pPr>
        <w:pStyle w:val="17"/>
        <w:tabs>
          <w:tab w:val="left" w:pos="1620"/>
        </w:tabs>
        <w:adjustRightInd w:val="0"/>
        <w:snapToGrid w:val="0"/>
        <w:spacing w:line="360" w:lineRule="auto"/>
        <w:ind w:left="-88" w:leftChars="-42"/>
        <w:jc w:val="center"/>
        <w:rPr>
          <w:rFonts w:ascii="黑体" w:hAnsi="华文中宋" w:eastAsia="黑体"/>
          <w:bCs/>
          <w:sz w:val="32"/>
          <w:szCs w:val="32"/>
          <w:highlight w:val="none"/>
        </w:rPr>
      </w:pPr>
    </w:p>
    <w:p>
      <w:pPr>
        <w:pStyle w:val="17"/>
        <w:tabs>
          <w:tab w:val="left" w:pos="1620"/>
        </w:tabs>
        <w:adjustRightInd w:val="0"/>
        <w:snapToGrid w:val="0"/>
        <w:spacing w:line="360" w:lineRule="auto"/>
        <w:ind w:left="-88" w:leftChars="-42"/>
        <w:jc w:val="center"/>
        <w:rPr>
          <w:rFonts w:ascii="黑体" w:hAnsi="华文中宋" w:eastAsia="黑体"/>
          <w:bCs/>
          <w:sz w:val="32"/>
          <w:szCs w:val="32"/>
          <w:highlight w:val="none"/>
        </w:rPr>
      </w:pPr>
    </w:p>
    <w:p>
      <w:pPr>
        <w:pStyle w:val="17"/>
        <w:tabs>
          <w:tab w:val="left" w:pos="1620"/>
        </w:tabs>
        <w:adjustRightInd w:val="0"/>
        <w:snapToGrid w:val="0"/>
        <w:spacing w:line="360" w:lineRule="auto"/>
        <w:ind w:left="-88" w:leftChars="-42"/>
        <w:jc w:val="center"/>
        <w:rPr>
          <w:rFonts w:ascii="黑体" w:hAnsi="华文中宋" w:eastAsia="黑体"/>
          <w:bCs/>
          <w:sz w:val="32"/>
          <w:szCs w:val="32"/>
          <w:highlight w:val="none"/>
        </w:rPr>
      </w:pPr>
    </w:p>
    <w:p>
      <w:pPr>
        <w:pStyle w:val="17"/>
        <w:tabs>
          <w:tab w:val="left" w:pos="1620"/>
        </w:tabs>
        <w:adjustRightInd w:val="0"/>
        <w:snapToGrid w:val="0"/>
        <w:spacing w:line="360" w:lineRule="auto"/>
        <w:ind w:left="-88" w:leftChars="-42"/>
        <w:jc w:val="center"/>
        <w:rPr>
          <w:rFonts w:ascii="黑体" w:hAnsi="华文中宋" w:eastAsia="黑体"/>
          <w:bCs/>
          <w:sz w:val="32"/>
          <w:szCs w:val="32"/>
          <w:highlight w:val="none"/>
        </w:rPr>
      </w:pPr>
    </w:p>
    <w:p>
      <w:pPr>
        <w:pStyle w:val="3"/>
        <w:ind w:left="0" w:firstLine="0"/>
        <w:jc w:val="center"/>
        <w:rPr>
          <w:rFonts w:ascii="黑体"/>
          <w:sz w:val="32"/>
          <w:szCs w:val="32"/>
          <w:highlight w:val="none"/>
        </w:rPr>
      </w:pPr>
      <w:bookmarkStart w:id="154" w:name="_Toc60996686"/>
      <w:bookmarkStart w:id="155" w:name="_Toc20534"/>
      <w:bookmarkStart w:id="156" w:name="_Toc27123_WPSOffice_Level2"/>
      <w:bookmarkStart w:id="157" w:name="_Toc22115_WPSOffice_Level1"/>
      <w:bookmarkStart w:id="158" w:name="_第四章__投标文件格式"/>
      <w:r>
        <w:rPr>
          <w:rFonts w:hint="eastAsia" w:ascii="黑体"/>
          <w:sz w:val="32"/>
          <w:szCs w:val="32"/>
          <w:highlight w:val="none"/>
        </w:rPr>
        <w:t>第四章  响应文件格式</w:t>
      </w:r>
      <w:bookmarkEnd w:id="154"/>
      <w:bookmarkEnd w:id="155"/>
      <w:bookmarkEnd w:id="156"/>
      <w:bookmarkEnd w:id="157"/>
    </w:p>
    <w:bookmarkEnd w:id="158"/>
    <w:p>
      <w:pPr>
        <w:pStyle w:val="3"/>
        <w:ind w:left="0" w:firstLine="0"/>
        <w:jc w:val="center"/>
        <w:rPr>
          <w:rFonts w:ascii="黑体"/>
          <w:sz w:val="32"/>
          <w:szCs w:val="32"/>
          <w:highlight w:val="none"/>
        </w:rPr>
      </w:pPr>
      <w:bookmarkStart w:id="159" w:name="_Toc17533_WPSOffice_Level2"/>
      <w:bookmarkStart w:id="160" w:name="_Toc30986_WPSOffice_Level3"/>
      <w:r>
        <w:rPr>
          <w:rFonts w:hint="eastAsia" w:ascii="黑体"/>
          <w:sz w:val="32"/>
          <w:szCs w:val="32"/>
          <w:highlight w:val="none"/>
        </w:rPr>
        <w:t xml:space="preserve">     </w:t>
      </w:r>
      <w:bookmarkStart w:id="161" w:name="_Toc30029"/>
      <w:r>
        <w:rPr>
          <w:rFonts w:hint="eastAsia" w:ascii="黑体"/>
          <w:sz w:val="32"/>
          <w:szCs w:val="32"/>
          <w:highlight w:val="none"/>
        </w:rPr>
        <w:t>（项目名称）</w:t>
      </w:r>
      <w:bookmarkEnd w:id="159"/>
      <w:bookmarkEnd w:id="160"/>
      <w:bookmarkEnd w:id="161"/>
    </w:p>
    <w:p>
      <w:pPr>
        <w:spacing w:line="360" w:lineRule="auto"/>
        <w:jc w:val="center"/>
        <w:rPr>
          <w:rFonts w:ascii="宋体"/>
          <w:sz w:val="24"/>
          <w:highlight w:val="none"/>
        </w:rPr>
      </w:pPr>
    </w:p>
    <w:p>
      <w:pPr>
        <w:spacing w:line="360" w:lineRule="auto"/>
        <w:jc w:val="center"/>
        <w:rPr>
          <w:rFonts w:ascii="宋体"/>
          <w:sz w:val="24"/>
          <w:highlight w:val="none"/>
        </w:rPr>
      </w:pPr>
    </w:p>
    <w:p>
      <w:pPr>
        <w:spacing w:line="360" w:lineRule="auto"/>
        <w:jc w:val="center"/>
        <w:rPr>
          <w:rFonts w:ascii="宋体"/>
          <w:sz w:val="24"/>
          <w:highlight w:val="none"/>
        </w:rPr>
      </w:pPr>
    </w:p>
    <w:p>
      <w:pPr>
        <w:spacing w:line="360" w:lineRule="auto"/>
        <w:jc w:val="center"/>
        <w:rPr>
          <w:rFonts w:ascii="宋体"/>
          <w:sz w:val="24"/>
          <w:highlight w:val="none"/>
        </w:rPr>
      </w:pPr>
    </w:p>
    <w:p>
      <w:pPr>
        <w:spacing w:line="360" w:lineRule="auto"/>
        <w:jc w:val="center"/>
        <w:rPr>
          <w:rFonts w:ascii="宋体"/>
          <w:sz w:val="24"/>
          <w:highlight w:val="none"/>
        </w:rPr>
      </w:pPr>
    </w:p>
    <w:p>
      <w:pPr>
        <w:pStyle w:val="17"/>
        <w:spacing w:line="360" w:lineRule="auto"/>
        <w:jc w:val="center"/>
        <w:rPr>
          <w:b/>
          <w:sz w:val="84"/>
          <w:szCs w:val="84"/>
          <w:highlight w:val="none"/>
        </w:rPr>
      </w:pPr>
      <w:r>
        <w:rPr>
          <w:rFonts w:hint="eastAsia"/>
          <w:b/>
          <w:sz w:val="84"/>
          <w:szCs w:val="84"/>
          <w:highlight w:val="none"/>
        </w:rPr>
        <w:t>响应文件</w:t>
      </w:r>
    </w:p>
    <w:p>
      <w:pPr>
        <w:spacing w:line="360" w:lineRule="auto"/>
        <w:jc w:val="center"/>
        <w:rPr>
          <w:rFonts w:ascii="宋体"/>
          <w:sz w:val="24"/>
          <w:highlight w:val="none"/>
        </w:rPr>
      </w:pPr>
    </w:p>
    <w:p>
      <w:pPr>
        <w:spacing w:line="360" w:lineRule="auto"/>
        <w:jc w:val="center"/>
        <w:rPr>
          <w:rFonts w:ascii="宋体"/>
          <w:sz w:val="24"/>
          <w:highlight w:val="none"/>
        </w:rPr>
      </w:pPr>
    </w:p>
    <w:p>
      <w:pPr>
        <w:pStyle w:val="17"/>
        <w:spacing w:line="360" w:lineRule="auto"/>
        <w:ind w:firstLine="3058" w:firstLineChars="1088"/>
        <w:rPr>
          <w:b/>
          <w:sz w:val="28"/>
          <w:szCs w:val="28"/>
          <w:highlight w:val="none"/>
          <w:u w:val="single"/>
        </w:rPr>
      </w:pPr>
      <w:bookmarkStart w:id="162" w:name="_Toc25325_WPSOffice_Level3"/>
      <w:r>
        <w:rPr>
          <w:rFonts w:hint="eastAsia"/>
          <w:b/>
          <w:sz w:val="28"/>
          <w:szCs w:val="28"/>
          <w:highlight w:val="none"/>
        </w:rPr>
        <w:t>项目编号：</w:t>
      </w:r>
      <w:bookmarkEnd w:id="162"/>
    </w:p>
    <w:p>
      <w:pPr>
        <w:spacing w:line="360" w:lineRule="auto"/>
        <w:jc w:val="center"/>
        <w:rPr>
          <w:rFonts w:ascii="宋体"/>
          <w:sz w:val="24"/>
          <w:highlight w:val="none"/>
        </w:rPr>
      </w:pPr>
    </w:p>
    <w:p>
      <w:pPr>
        <w:spacing w:line="360" w:lineRule="auto"/>
        <w:jc w:val="center"/>
        <w:rPr>
          <w:rFonts w:ascii="宋体"/>
          <w:sz w:val="24"/>
          <w:highlight w:val="none"/>
        </w:rPr>
      </w:pPr>
    </w:p>
    <w:p>
      <w:pPr>
        <w:spacing w:line="360" w:lineRule="auto"/>
        <w:jc w:val="center"/>
        <w:rPr>
          <w:rFonts w:ascii="宋体"/>
          <w:sz w:val="24"/>
          <w:highlight w:val="none"/>
        </w:rPr>
      </w:pPr>
    </w:p>
    <w:p>
      <w:pPr>
        <w:spacing w:line="360" w:lineRule="auto"/>
        <w:ind w:firstLine="1980" w:firstLineChars="825"/>
        <w:rPr>
          <w:sz w:val="24"/>
          <w:highlight w:val="none"/>
        </w:rPr>
      </w:pPr>
      <w:r>
        <w:rPr>
          <w:rFonts w:hint="eastAsia"/>
          <w:sz w:val="24"/>
          <w:highlight w:val="none"/>
        </w:rPr>
        <w:t>供应商：（盖单位公章）</w:t>
      </w:r>
    </w:p>
    <w:p>
      <w:pPr>
        <w:spacing w:line="360" w:lineRule="auto"/>
        <w:ind w:firstLine="1980" w:firstLineChars="825"/>
        <w:rPr>
          <w:sz w:val="24"/>
          <w:highlight w:val="none"/>
        </w:rPr>
      </w:pPr>
      <w:r>
        <w:rPr>
          <w:rFonts w:hint="eastAsia"/>
          <w:sz w:val="24"/>
          <w:highlight w:val="none"/>
        </w:rPr>
        <w:t>法定代表人：（签名或盖章）</w:t>
      </w:r>
    </w:p>
    <w:p>
      <w:pPr>
        <w:spacing w:line="360" w:lineRule="auto"/>
        <w:ind w:firstLine="1980" w:firstLineChars="825"/>
        <w:jc w:val="center"/>
        <w:rPr>
          <w:sz w:val="24"/>
          <w:highlight w:val="none"/>
        </w:rPr>
      </w:pPr>
    </w:p>
    <w:p>
      <w:pPr>
        <w:spacing w:line="360" w:lineRule="auto"/>
        <w:ind w:firstLine="2580" w:firstLineChars="1075"/>
        <w:rPr>
          <w:sz w:val="24"/>
          <w:highlight w:val="none"/>
        </w:rPr>
      </w:pPr>
      <w:r>
        <w:rPr>
          <w:rFonts w:hint="eastAsia"/>
          <w:sz w:val="24"/>
          <w:highlight w:val="none"/>
        </w:rPr>
        <w:t>年月日</w:t>
      </w:r>
      <w:r>
        <w:rPr>
          <w:rFonts w:ascii="宋体"/>
          <w:sz w:val="24"/>
          <w:highlight w:val="none"/>
        </w:rPr>
        <w:br w:type="page"/>
      </w:r>
      <w:bookmarkStart w:id="163" w:name="_Toc396"/>
    </w:p>
    <w:p>
      <w:pPr>
        <w:pStyle w:val="4"/>
        <w:spacing w:before="0" w:line="240" w:lineRule="atLeast"/>
        <w:ind w:left="420" w:leftChars="200" w:firstLine="0"/>
        <w:rPr>
          <w:rFonts w:ascii="宋体" w:hAnsi="宋体" w:eastAsia="宋体"/>
          <w:sz w:val="32"/>
          <w:szCs w:val="32"/>
          <w:highlight w:val="none"/>
        </w:rPr>
      </w:pPr>
      <w:bookmarkStart w:id="164" w:name="_Toc27994_WPSOffice_Level2"/>
      <w:bookmarkStart w:id="165" w:name="_Toc29695_WPSOffice_Level3"/>
      <w:bookmarkStart w:id="166" w:name="_Toc29044"/>
      <w:bookmarkStart w:id="167" w:name="_商务文件"/>
      <w:bookmarkStart w:id="168" w:name="_Toc60996688"/>
      <w:bookmarkStart w:id="169" w:name="_Toc19067"/>
      <w:bookmarkStart w:id="170" w:name="_Toc60996687"/>
      <w:r>
        <w:rPr>
          <w:rFonts w:hint="eastAsia" w:ascii="宋体" w:hAnsi="宋体" w:eastAsia="宋体"/>
          <w:sz w:val="32"/>
          <w:szCs w:val="32"/>
          <w:highlight w:val="none"/>
        </w:rPr>
        <w:t>商务文件</w:t>
      </w:r>
      <w:bookmarkEnd w:id="164"/>
      <w:bookmarkEnd w:id="165"/>
      <w:bookmarkEnd w:id="166"/>
    </w:p>
    <w:bookmarkEnd w:id="167"/>
    <w:p>
      <w:pPr>
        <w:spacing w:line="640" w:lineRule="exact"/>
        <w:rPr>
          <w:rFonts w:ascii="宋体" w:hAnsi="宋体"/>
          <w:sz w:val="24"/>
          <w:highlight w:val="none"/>
        </w:rPr>
      </w:pPr>
      <w:bookmarkStart w:id="171" w:name="_Toc17522_WPSOffice_Level3"/>
      <w:bookmarkStart w:id="172" w:name="_Toc21520_WPSOffice_Level2"/>
      <w:r>
        <w:rPr>
          <w:rFonts w:hint="eastAsia" w:ascii="宋体" w:hAnsi="宋体"/>
          <w:sz w:val="24"/>
          <w:highlight w:val="none"/>
        </w:rPr>
        <w:t>一、谈判响应函</w:t>
      </w:r>
      <w:bookmarkEnd w:id="171"/>
      <w:bookmarkEnd w:id="172"/>
    </w:p>
    <w:p>
      <w:pPr>
        <w:spacing w:line="640" w:lineRule="exact"/>
        <w:rPr>
          <w:rFonts w:ascii="宋体" w:hAnsi="宋体"/>
          <w:sz w:val="24"/>
          <w:highlight w:val="none"/>
        </w:rPr>
      </w:pPr>
      <w:bookmarkStart w:id="173" w:name="_Toc32340_WPSOffice_Level3"/>
      <w:bookmarkStart w:id="174" w:name="_Toc28668_WPSOffice_Level2"/>
      <w:r>
        <w:rPr>
          <w:rFonts w:hint="eastAsia" w:ascii="宋体" w:hAnsi="宋体"/>
          <w:sz w:val="24"/>
          <w:highlight w:val="none"/>
        </w:rPr>
        <w:t>二、竞争性谈判报价一览表</w:t>
      </w:r>
      <w:bookmarkEnd w:id="173"/>
      <w:bookmarkEnd w:id="174"/>
    </w:p>
    <w:p>
      <w:pPr>
        <w:pStyle w:val="13"/>
        <w:spacing w:line="640" w:lineRule="exact"/>
        <w:rPr>
          <w:highlight w:val="none"/>
        </w:rPr>
      </w:pPr>
      <w:bookmarkStart w:id="175" w:name="_Toc21966_WPSOffice_Level2"/>
      <w:bookmarkStart w:id="176" w:name="_Toc17824_WPSOffice_Level3"/>
      <w:r>
        <w:rPr>
          <w:rFonts w:hint="eastAsia"/>
          <w:highlight w:val="none"/>
          <w:lang w:eastAsia="zh-CN"/>
        </w:rPr>
        <w:t>三</w:t>
      </w:r>
      <w:r>
        <w:rPr>
          <w:rFonts w:hint="eastAsia"/>
          <w:highlight w:val="none"/>
        </w:rPr>
        <w:t>、投标人资格证明文件</w:t>
      </w:r>
      <w:bookmarkEnd w:id="175"/>
      <w:bookmarkEnd w:id="176"/>
    </w:p>
    <w:p>
      <w:pPr>
        <w:pStyle w:val="13"/>
        <w:spacing w:line="640" w:lineRule="exact"/>
        <w:rPr>
          <w:highlight w:val="none"/>
        </w:rPr>
      </w:pPr>
      <w:r>
        <w:rPr>
          <w:rFonts w:hint="eastAsia"/>
          <w:highlight w:val="none"/>
          <w:lang w:eastAsia="zh-CN"/>
        </w:rPr>
        <w:t>四</w:t>
      </w:r>
      <w:r>
        <w:rPr>
          <w:rFonts w:hint="eastAsia"/>
          <w:highlight w:val="none"/>
        </w:rPr>
        <w:t>、构成响应文件的其他资料</w:t>
      </w:r>
    </w:p>
    <w:p>
      <w:pPr>
        <w:rPr>
          <w:highlight w:val="none"/>
        </w:rPr>
      </w:pPr>
    </w:p>
    <w:p>
      <w:pPr>
        <w:pStyle w:val="4"/>
        <w:spacing w:before="0" w:line="240" w:lineRule="atLeast"/>
        <w:ind w:left="0" w:firstLine="482" w:firstLineChars="200"/>
        <w:rPr>
          <w:rFonts w:ascii="宋体" w:hAnsi="宋体" w:eastAsia="宋体"/>
          <w:sz w:val="24"/>
          <w:szCs w:val="24"/>
          <w:highlight w:val="none"/>
        </w:rPr>
      </w:pPr>
    </w:p>
    <w:p>
      <w:pPr>
        <w:pStyle w:val="4"/>
        <w:spacing w:before="0" w:line="240" w:lineRule="atLeast"/>
        <w:ind w:left="0" w:firstLine="482" w:firstLineChars="200"/>
        <w:rPr>
          <w:rFonts w:ascii="宋体" w:hAnsi="宋体" w:eastAsia="宋体"/>
          <w:sz w:val="24"/>
          <w:szCs w:val="24"/>
          <w:highlight w:val="none"/>
        </w:rPr>
      </w:pPr>
      <w:bookmarkStart w:id="177" w:name="_格式1：投标函"/>
    </w:p>
    <w:p>
      <w:pPr>
        <w:pStyle w:val="4"/>
        <w:spacing w:before="0" w:line="240" w:lineRule="atLeast"/>
        <w:ind w:left="0" w:firstLine="482" w:firstLineChars="200"/>
        <w:rPr>
          <w:rFonts w:ascii="宋体" w:hAnsi="宋体" w:eastAsia="宋体"/>
          <w:sz w:val="24"/>
          <w:szCs w:val="24"/>
          <w:highlight w:val="none"/>
        </w:rPr>
      </w:pPr>
    </w:p>
    <w:p>
      <w:pPr>
        <w:pStyle w:val="4"/>
        <w:spacing w:before="0" w:line="240" w:lineRule="atLeast"/>
        <w:ind w:left="0" w:firstLine="482" w:firstLineChars="200"/>
        <w:rPr>
          <w:rFonts w:ascii="宋体" w:hAnsi="宋体" w:eastAsia="宋体"/>
          <w:sz w:val="24"/>
          <w:szCs w:val="24"/>
          <w:highlight w:val="none"/>
        </w:rPr>
      </w:pPr>
    </w:p>
    <w:p>
      <w:pPr>
        <w:pStyle w:val="4"/>
        <w:spacing w:before="0" w:line="240" w:lineRule="atLeast"/>
        <w:ind w:left="0" w:firstLine="482" w:firstLineChars="200"/>
        <w:rPr>
          <w:rFonts w:ascii="宋体" w:hAnsi="宋体" w:eastAsia="宋体"/>
          <w:sz w:val="24"/>
          <w:szCs w:val="24"/>
          <w:highlight w:val="none"/>
        </w:rPr>
      </w:pPr>
    </w:p>
    <w:p>
      <w:pPr>
        <w:pStyle w:val="4"/>
        <w:spacing w:before="0" w:line="240" w:lineRule="atLeast"/>
        <w:ind w:left="0" w:firstLine="482" w:firstLineChars="200"/>
        <w:rPr>
          <w:rFonts w:ascii="宋体" w:hAnsi="宋体" w:eastAsia="宋体"/>
          <w:sz w:val="24"/>
          <w:szCs w:val="24"/>
          <w:highlight w:val="none"/>
        </w:rPr>
      </w:pPr>
    </w:p>
    <w:p>
      <w:pPr>
        <w:pStyle w:val="4"/>
        <w:spacing w:before="0" w:line="240" w:lineRule="atLeast"/>
        <w:ind w:left="0" w:firstLine="482" w:firstLineChars="200"/>
        <w:rPr>
          <w:rFonts w:ascii="宋体" w:hAnsi="宋体" w:eastAsia="宋体"/>
          <w:sz w:val="24"/>
          <w:szCs w:val="24"/>
          <w:highlight w:val="none"/>
        </w:rPr>
      </w:pPr>
    </w:p>
    <w:p>
      <w:pPr>
        <w:pStyle w:val="4"/>
        <w:spacing w:before="0" w:line="240" w:lineRule="atLeast"/>
        <w:ind w:left="0" w:firstLine="482" w:firstLineChars="200"/>
        <w:rPr>
          <w:rFonts w:ascii="宋体" w:hAnsi="宋体" w:eastAsia="宋体"/>
          <w:sz w:val="24"/>
          <w:szCs w:val="24"/>
          <w:highlight w:val="none"/>
        </w:rPr>
      </w:pPr>
    </w:p>
    <w:p>
      <w:pPr>
        <w:pStyle w:val="4"/>
        <w:spacing w:before="0" w:line="240" w:lineRule="atLeast"/>
        <w:ind w:left="0" w:firstLine="482" w:firstLineChars="200"/>
        <w:rPr>
          <w:rFonts w:ascii="宋体" w:hAnsi="宋体" w:eastAsia="宋体"/>
          <w:sz w:val="24"/>
          <w:szCs w:val="24"/>
          <w:highlight w:val="none"/>
        </w:rPr>
      </w:pPr>
    </w:p>
    <w:p>
      <w:pPr>
        <w:pStyle w:val="4"/>
        <w:spacing w:before="0" w:line="240" w:lineRule="atLeast"/>
        <w:ind w:left="0" w:firstLine="482" w:firstLineChars="200"/>
        <w:rPr>
          <w:rFonts w:ascii="宋体" w:hAnsi="宋体" w:eastAsia="宋体"/>
          <w:sz w:val="24"/>
          <w:szCs w:val="24"/>
          <w:highlight w:val="none"/>
        </w:rPr>
      </w:pPr>
    </w:p>
    <w:p>
      <w:pPr>
        <w:pStyle w:val="4"/>
        <w:spacing w:before="0" w:line="240" w:lineRule="atLeast"/>
        <w:ind w:left="0" w:firstLine="482" w:firstLineChars="200"/>
        <w:rPr>
          <w:rFonts w:ascii="宋体" w:hAnsi="宋体" w:eastAsia="宋体"/>
          <w:sz w:val="24"/>
          <w:szCs w:val="24"/>
          <w:highlight w:val="none"/>
        </w:rPr>
      </w:pPr>
    </w:p>
    <w:p>
      <w:pPr>
        <w:pStyle w:val="4"/>
        <w:spacing w:before="0" w:line="240" w:lineRule="atLeast"/>
        <w:ind w:left="0" w:firstLine="482" w:firstLineChars="200"/>
        <w:rPr>
          <w:rFonts w:ascii="宋体" w:hAnsi="宋体" w:eastAsia="宋体"/>
          <w:sz w:val="24"/>
          <w:szCs w:val="24"/>
          <w:highlight w:val="none"/>
        </w:rPr>
      </w:pPr>
    </w:p>
    <w:p>
      <w:pPr>
        <w:pStyle w:val="4"/>
        <w:spacing w:before="0" w:line="240" w:lineRule="atLeast"/>
        <w:ind w:left="0" w:firstLine="482" w:firstLineChars="200"/>
        <w:rPr>
          <w:rFonts w:ascii="宋体" w:hAnsi="宋体" w:eastAsia="宋体"/>
          <w:sz w:val="24"/>
          <w:szCs w:val="24"/>
          <w:highlight w:val="none"/>
        </w:rPr>
      </w:pPr>
    </w:p>
    <w:p>
      <w:pPr>
        <w:rPr>
          <w:rFonts w:ascii="宋体" w:hAnsi="宋体"/>
          <w:sz w:val="24"/>
          <w:highlight w:val="none"/>
        </w:rPr>
      </w:pPr>
    </w:p>
    <w:p>
      <w:pPr>
        <w:pStyle w:val="3"/>
        <w:rPr>
          <w:rFonts w:ascii="宋体" w:hAnsi="宋体"/>
          <w:sz w:val="24"/>
          <w:szCs w:val="24"/>
          <w:highlight w:val="none"/>
        </w:rPr>
      </w:pPr>
    </w:p>
    <w:p>
      <w:pPr>
        <w:rPr>
          <w:rFonts w:ascii="宋体" w:hAnsi="宋体"/>
          <w:sz w:val="24"/>
          <w:highlight w:val="none"/>
        </w:rPr>
      </w:pPr>
    </w:p>
    <w:p>
      <w:pPr>
        <w:pStyle w:val="3"/>
        <w:rPr>
          <w:rFonts w:ascii="宋体" w:hAnsi="宋体"/>
          <w:sz w:val="24"/>
          <w:szCs w:val="24"/>
          <w:highlight w:val="none"/>
        </w:rPr>
      </w:pPr>
    </w:p>
    <w:p>
      <w:pPr>
        <w:rPr>
          <w:rFonts w:ascii="宋体" w:hAnsi="宋体"/>
          <w:sz w:val="24"/>
          <w:highlight w:val="none"/>
        </w:rPr>
      </w:pPr>
    </w:p>
    <w:p>
      <w:pPr>
        <w:pStyle w:val="3"/>
        <w:rPr>
          <w:rFonts w:ascii="宋体" w:hAnsi="宋体"/>
          <w:sz w:val="24"/>
          <w:szCs w:val="24"/>
          <w:highlight w:val="none"/>
        </w:rPr>
      </w:pPr>
    </w:p>
    <w:p>
      <w:pPr>
        <w:rPr>
          <w:rFonts w:ascii="宋体" w:hAnsi="宋体"/>
          <w:sz w:val="24"/>
          <w:highlight w:val="none"/>
        </w:rPr>
      </w:pPr>
    </w:p>
    <w:p>
      <w:pPr>
        <w:pStyle w:val="3"/>
        <w:rPr>
          <w:rFonts w:ascii="宋体" w:hAnsi="宋体"/>
          <w:sz w:val="24"/>
          <w:szCs w:val="24"/>
          <w:highlight w:val="none"/>
        </w:rPr>
      </w:pPr>
    </w:p>
    <w:p>
      <w:pPr>
        <w:rPr>
          <w:rFonts w:ascii="宋体" w:hAnsi="宋体"/>
          <w:sz w:val="24"/>
          <w:highlight w:val="none"/>
        </w:rPr>
      </w:pPr>
    </w:p>
    <w:p>
      <w:pPr>
        <w:pStyle w:val="45"/>
        <w:rPr>
          <w:rFonts w:ascii="宋体" w:hAnsi="宋体"/>
          <w:sz w:val="24"/>
          <w:highlight w:val="none"/>
        </w:rPr>
      </w:pPr>
    </w:p>
    <w:p>
      <w:pPr>
        <w:pStyle w:val="45"/>
        <w:rPr>
          <w:rFonts w:ascii="宋体" w:hAnsi="宋体"/>
          <w:sz w:val="24"/>
          <w:highlight w:val="none"/>
        </w:rPr>
      </w:pPr>
    </w:p>
    <w:p>
      <w:pPr>
        <w:pStyle w:val="45"/>
        <w:rPr>
          <w:rFonts w:ascii="宋体" w:hAnsi="宋体"/>
          <w:sz w:val="24"/>
          <w:highlight w:val="none"/>
        </w:rPr>
      </w:pPr>
    </w:p>
    <w:p>
      <w:pPr>
        <w:pStyle w:val="45"/>
        <w:rPr>
          <w:rFonts w:ascii="宋体" w:hAnsi="宋体"/>
          <w:sz w:val="24"/>
          <w:highlight w:val="none"/>
        </w:rPr>
      </w:pPr>
    </w:p>
    <w:p>
      <w:pPr>
        <w:pStyle w:val="45"/>
        <w:rPr>
          <w:rFonts w:ascii="宋体" w:hAnsi="宋体"/>
          <w:sz w:val="24"/>
          <w:highlight w:val="none"/>
        </w:rPr>
      </w:pPr>
    </w:p>
    <w:p>
      <w:pPr>
        <w:rPr>
          <w:rFonts w:ascii="宋体" w:hAnsi="宋体"/>
          <w:sz w:val="24"/>
          <w:highlight w:val="none"/>
        </w:rPr>
      </w:pPr>
    </w:p>
    <w:p>
      <w:pPr>
        <w:pStyle w:val="4"/>
        <w:spacing w:before="0" w:line="240" w:lineRule="atLeast"/>
        <w:ind w:left="0" w:firstLine="0"/>
        <w:rPr>
          <w:rFonts w:hint="eastAsia" w:ascii="宋体" w:hAnsi="宋体" w:eastAsia="宋体"/>
          <w:sz w:val="24"/>
          <w:szCs w:val="24"/>
          <w:highlight w:val="none"/>
        </w:rPr>
      </w:pPr>
      <w:bookmarkStart w:id="178" w:name="_Toc9761_WPSOffice_Level3"/>
    </w:p>
    <w:p>
      <w:pPr>
        <w:rPr>
          <w:rFonts w:hint="eastAsia"/>
        </w:rPr>
      </w:pPr>
    </w:p>
    <w:p>
      <w:pPr>
        <w:pStyle w:val="4"/>
        <w:spacing w:before="0" w:line="240" w:lineRule="atLeast"/>
        <w:ind w:left="0" w:firstLine="0"/>
        <w:rPr>
          <w:rFonts w:hint="eastAsia" w:ascii="宋体" w:hAnsi="宋体" w:eastAsia="宋体"/>
          <w:sz w:val="24"/>
          <w:szCs w:val="24"/>
          <w:highlight w:val="none"/>
        </w:rPr>
      </w:pPr>
    </w:p>
    <w:p>
      <w:pPr>
        <w:pStyle w:val="4"/>
        <w:spacing w:before="0" w:line="240" w:lineRule="atLeast"/>
        <w:ind w:left="0" w:firstLine="0"/>
        <w:rPr>
          <w:rFonts w:ascii="宋体" w:hAnsi="宋体" w:eastAsia="宋体"/>
          <w:szCs w:val="28"/>
          <w:highlight w:val="none"/>
        </w:rPr>
      </w:pPr>
      <w:bookmarkStart w:id="179" w:name="_Toc5231"/>
      <w:r>
        <w:rPr>
          <w:rFonts w:hint="eastAsia" w:ascii="宋体" w:hAnsi="宋体" w:eastAsia="宋体"/>
          <w:sz w:val="24"/>
          <w:szCs w:val="24"/>
          <w:highlight w:val="none"/>
        </w:rPr>
        <w:t>格式1：</w:t>
      </w:r>
      <w:bookmarkEnd w:id="168"/>
      <w:bookmarkEnd w:id="169"/>
      <w:bookmarkEnd w:id="178"/>
      <w:r>
        <w:rPr>
          <w:rFonts w:hint="eastAsia" w:ascii="宋体" w:hAnsi="宋体" w:eastAsia="宋体"/>
          <w:sz w:val="24"/>
          <w:szCs w:val="24"/>
          <w:highlight w:val="none"/>
        </w:rPr>
        <w:t>谈判响应函</w:t>
      </w:r>
      <w:bookmarkEnd w:id="179"/>
    </w:p>
    <w:bookmarkEnd w:id="177"/>
    <w:p>
      <w:pPr>
        <w:spacing w:line="360" w:lineRule="auto"/>
        <w:jc w:val="center"/>
        <w:rPr>
          <w:rFonts w:ascii="宋体"/>
          <w:b/>
          <w:bCs/>
          <w:sz w:val="32"/>
          <w:szCs w:val="32"/>
          <w:highlight w:val="none"/>
        </w:rPr>
      </w:pPr>
      <w:r>
        <w:rPr>
          <w:rFonts w:hint="eastAsia" w:ascii="宋体"/>
          <w:b/>
          <w:bCs/>
          <w:sz w:val="32"/>
          <w:szCs w:val="32"/>
          <w:highlight w:val="none"/>
        </w:rPr>
        <w:t>谈判响应函</w:t>
      </w:r>
    </w:p>
    <w:p>
      <w:pPr>
        <w:keepNext w:val="0"/>
        <w:keepLines w:val="0"/>
        <w:pageBreakBefore w:val="0"/>
        <w:widowControl w:val="0"/>
        <w:kinsoku/>
        <w:wordWrap/>
        <w:overflowPunct/>
        <w:topLinePunct w:val="0"/>
        <w:autoSpaceDE/>
        <w:autoSpaceDN/>
        <w:bidi w:val="0"/>
        <w:spacing w:line="240" w:lineRule="atLeast"/>
        <w:jc w:val="left"/>
        <w:textAlignment w:val="auto"/>
        <w:rPr>
          <w:rFonts w:ascii="宋体"/>
          <w:szCs w:val="21"/>
          <w:highlight w:val="none"/>
        </w:rPr>
      </w:pPr>
      <w:r>
        <w:rPr>
          <w:rFonts w:hint="eastAsia" w:ascii="宋体"/>
          <w:szCs w:val="21"/>
          <w:highlight w:val="none"/>
        </w:rPr>
        <w:t>致：</w:t>
      </w:r>
    </w:p>
    <w:p>
      <w:pPr>
        <w:keepNext w:val="0"/>
        <w:keepLines w:val="0"/>
        <w:pageBreakBefore w:val="0"/>
        <w:widowControl w:val="0"/>
        <w:kinsoku/>
        <w:wordWrap/>
        <w:overflowPunct/>
        <w:topLinePunct w:val="0"/>
        <w:autoSpaceDE/>
        <w:autoSpaceDN/>
        <w:bidi w:val="0"/>
        <w:adjustRightInd w:val="0"/>
        <w:snapToGrid w:val="0"/>
        <w:spacing w:beforeLines="50" w:line="240" w:lineRule="atLeast"/>
        <w:ind w:firstLine="435"/>
        <w:textAlignment w:val="auto"/>
        <w:rPr>
          <w:rFonts w:hint="eastAsia" w:ascii="宋体" w:hAnsi="宋体"/>
          <w:szCs w:val="21"/>
          <w:highlight w:val="none"/>
        </w:rPr>
      </w:pPr>
      <w:r>
        <w:rPr>
          <w:rFonts w:hint="eastAsia" w:ascii="宋体" w:hAnsi="宋体"/>
          <w:szCs w:val="21"/>
          <w:highlight w:val="none"/>
        </w:rPr>
        <w:t>根据贵方为</w:t>
      </w:r>
      <w:r>
        <w:rPr>
          <w:rFonts w:hint="eastAsia" w:ascii="宋体" w:hAnsi="宋体"/>
          <w:szCs w:val="21"/>
          <w:highlight w:val="none"/>
          <w:u w:val="single"/>
        </w:rPr>
        <w:t xml:space="preserve">             </w:t>
      </w:r>
      <w:r>
        <w:rPr>
          <w:rFonts w:hint="eastAsia" w:ascii="宋体" w:hAnsi="宋体"/>
          <w:szCs w:val="21"/>
          <w:highlight w:val="none"/>
        </w:rPr>
        <w:t>（项目名称）的谈判邀请（项目编号：</w:t>
      </w:r>
      <w:r>
        <w:rPr>
          <w:rFonts w:hint="eastAsia" w:ascii="宋体" w:hAnsi="宋体"/>
          <w:szCs w:val="21"/>
          <w:highlight w:val="none"/>
          <w:u w:val="single"/>
        </w:rPr>
        <w:t xml:space="preserve">         </w:t>
      </w:r>
      <w:r>
        <w:rPr>
          <w:rFonts w:hint="eastAsia" w:ascii="宋体" w:hAnsi="宋体"/>
          <w:szCs w:val="21"/>
          <w:highlight w:val="none"/>
        </w:rPr>
        <w:t xml:space="preserve">，签字代表 </w:t>
      </w:r>
      <w:r>
        <w:rPr>
          <w:rFonts w:hint="eastAsia" w:ascii="宋体" w:hAnsi="宋体"/>
          <w:szCs w:val="21"/>
          <w:highlight w:val="none"/>
          <w:u w:val="single"/>
        </w:rPr>
        <w:t xml:space="preserve">        </w:t>
      </w:r>
      <w:r>
        <w:rPr>
          <w:rFonts w:hint="eastAsia" w:ascii="宋体" w:hAnsi="宋体"/>
          <w:szCs w:val="21"/>
          <w:highlight w:val="none"/>
        </w:rPr>
        <w:t>（姓名、职务）经正式授权并代表投标人</w:t>
      </w:r>
      <w:r>
        <w:rPr>
          <w:rFonts w:hint="eastAsia" w:ascii="宋体" w:hAnsi="宋体"/>
          <w:szCs w:val="21"/>
          <w:highlight w:val="none"/>
          <w:u w:val="single"/>
        </w:rPr>
        <w:t xml:space="preserve">       </w:t>
      </w:r>
      <w:r>
        <w:rPr>
          <w:rFonts w:hint="eastAsia" w:ascii="宋体" w:hAnsi="宋体"/>
          <w:szCs w:val="21"/>
          <w:highlight w:val="none"/>
        </w:rPr>
        <w:t xml:space="preserve"> （投标人名称、地址）提交下述文件正本一份、副本一份并在此声明，所递交的谈判文件内容完整、真实。</w:t>
      </w:r>
    </w:p>
    <w:p>
      <w:pPr>
        <w:keepNext w:val="0"/>
        <w:keepLines w:val="0"/>
        <w:pageBreakBefore w:val="0"/>
        <w:widowControl w:val="0"/>
        <w:kinsoku/>
        <w:wordWrap/>
        <w:overflowPunct/>
        <w:topLinePunct w:val="0"/>
        <w:autoSpaceDE/>
        <w:autoSpaceDN/>
        <w:bidi w:val="0"/>
        <w:adjustRightInd w:val="0"/>
        <w:snapToGrid w:val="0"/>
        <w:spacing w:beforeLines="50" w:line="240" w:lineRule="atLeast"/>
        <w:ind w:firstLine="435"/>
        <w:textAlignment w:val="auto"/>
        <w:rPr>
          <w:rFonts w:hint="eastAsia" w:ascii="宋体" w:hAnsi="宋体"/>
          <w:szCs w:val="21"/>
          <w:highlight w:val="none"/>
        </w:rPr>
      </w:pPr>
      <w:r>
        <w:rPr>
          <w:rFonts w:hint="eastAsia" w:ascii="宋体" w:hAnsi="宋体"/>
          <w:szCs w:val="21"/>
          <w:highlight w:val="none"/>
        </w:rPr>
        <w:t xml:space="preserve">1、商务文件：谈判函、开标一览表、谈判资格证明文件； </w:t>
      </w:r>
    </w:p>
    <w:p>
      <w:pPr>
        <w:keepNext w:val="0"/>
        <w:keepLines w:val="0"/>
        <w:pageBreakBefore w:val="0"/>
        <w:widowControl w:val="0"/>
        <w:kinsoku/>
        <w:wordWrap/>
        <w:overflowPunct/>
        <w:topLinePunct w:val="0"/>
        <w:autoSpaceDE/>
        <w:autoSpaceDN/>
        <w:bidi w:val="0"/>
        <w:adjustRightInd w:val="0"/>
        <w:snapToGrid w:val="0"/>
        <w:spacing w:beforeLines="50" w:line="240" w:lineRule="atLeast"/>
        <w:ind w:firstLine="435"/>
        <w:textAlignment w:val="auto"/>
        <w:rPr>
          <w:rFonts w:hint="eastAsia" w:ascii="宋体" w:hAnsi="宋体"/>
          <w:szCs w:val="21"/>
          <w:highlight w:val="none"/>
        </w:rPr>
      </w:pPr>
      <w:r>
        <w:rPr>
          <w:rFonts w:hint="eastAsia" w:ascii="宋体" w:hAnsi="宋体"/>
          <w:szCs w:val="21"/>
          <w:highlight w:val="none"/>
        </w:rPr>
        <w:t>2、技术文件：谈判文件规定的证明文件。</w:t>
      </w:r>
    </w:p>
    <w:p>
      <w:pPr>
        <w:keepNext w:val="0"/>
        <w:keepLines w:val="0"/>
        <w:pageBreakBefore w:val="0"/>
        <w:widowControl w:val="0"/>
        <w:kinsoku/>
        <w:wordWrap/>
        <w:overflowPunct/>
        <w:topLinePunct w:val="0"/>
        <w:autoSpaceDE/>
        <w:autoSpaceDN/>
        <w:bidi w:val="0"/>
        <w:adjustRightInd w:val="0"/>
        <w:snapToGrid w:val="0"/>
        <w:spacing w:beforeLines="50" w:line="240" w:lineRule="atLeast"/>
        <w:ind w:firstLine="420" w:firstLineChars="200"/>
        <w:textAlignment w:val="auto"/>
        <w:rPr>
          <w:rFonts w:ascii="宋体" w:hAnsi="宋体"/>
          <w:szCs w:val="21"/>
          <w:highlight w:val="none"/>
        </w:rPr>
      </w:pPr>
      <w:r>
        <w:rPr>
          <w:rFonts w:hint="eastAsia" w:ascii="宋体" w:hAnsi="宋体"/>
          <w:szCs w:val="21"/>
          <w:highlight w:val="none"/>
        </w:rPr>
        <w:t>在此，签字代表宣布同意如下：</w:t>
      </w:r>
    </w:p>
    <w:p>
      <w:pPr>
        <w:keepNext w:val="0"/>
        <w:keepLines w:val="0"/>
        <w:pageBreakBefore w:val="0"/>
        <w:widowControl w:val="0"/>
        <w:kinsoku/>
        <w:wordWrap/>
        <w:overflowPunct/>
        <w:topLinePunct w:val="0"/>
        <w:autoSpaceDE/>
        <w:autoSpaceDN/>
        <w:bidi w:val="0"/>
        <w:adjustRightInd w:val="0"/>
        <w:snapToGrid w:val="0"/>
        <w:spacing w:beforeLines="50" w:line="240" w:lineRule="atLeast"/>
        <w:ind w:firstLine="420" w:firstLineChars="200"/>
        <w:textAlignment w:val="auto"/>
        <w:rPr>
          <w:rFonts w:ascii="宋体" w:hAnsi="宋体"/>
          <w:szCs w:val="21"/>
          <w:highlight w:val="none"/>
        </w:rPr>
      </w:pPr>
      <w:r>
        <w:rPr>
          <w:rFonts w:hint="eastAsia" w:ascii="宋体" w:hAnsi="宋体"/>
          <w:szCs w:val="21"/>
          <w:highlight w:val="none"/>
        </w:rPr>
        <w:t>1、所附谈判价格表中规定的应提交和交付的货物和服务谈判总价为：</w:t>
      </w:r>
      <w:r>
        <w:rPr>
          <w:rFonts w:hint="eastAsia" w:ascii="宋体" w:hAnsi="宋体"/>
          <w:szCs w:val="21"/>
          <w:highlight w:val="none"/>
          <w:u w:val="single"/>
        </w:rPr>
        <w:t xml:space="preserve">          </w:t>
      </w:r>
      <w:r>
        <w:rPr>
          <w:rFonts w:hint="eastAsia" w:ascii="宋体" w:hAnsi="宋体"/>
          <w:szCs w:val="21"/>
          <w:highlight w:val="none"/>
        </w:rPr>
        <w:t>(人民币大写)。</w:t>
      </w:r>
    </w:p>
    <w:p>
      <w:pPr>
        <w:keepNext w:val="0"/>
        <w:keepLines w:val="0"/>
        <w:pageBreakBefore w:val="0"/>
        <w:widowControl w:val="0"/>
        <w:kinsoku/>
        <w:wordWrap/>
        <w:overflowPunct/>
        <w:topLinePunct w:val="0"/>
        <w:autoSpaceDE/>
        <w:autoSpaceDN/>
        <w:bidi w:val="0"/>
        <w:adjustRightInd w:val="0"/>
        <w:snapToGrid w:val="0"/>
        <w:spacing w:beforeLines="50" w:line="240" w:lineRule="atLeast"/>
        <w:ind w:firstLine="420" w:firstLineChars="200"/>
        <w:textAlignment w:val="auto"/>
        <w:rPr>
          <w:rFonts w:ascii="宋体" w:hAnsi="宋体"/>
          <w:szCs w:val="21"/>
          <w:highlight w:val="none"/>
        </w:rPr>
      </w:pPr>
      <w:r>
        <w:rPr>
          <w:rFonts w:hint="eastAsia" w:ascii="宋体" w:hAnsi="宋体"/>
          <w:szCs w:val="21"/>
          <w:highlight w:val="none"/>
        </w:rPr>
        <w:t>2、投标人将按谈判文件的规定履行合同责任和义务。</w:t>
      </w:r>
    </w:p>
    <w:p>
      <w:pPr>
        <w:keepNext w:val="0"/>
        <w:keepLines w:val="0"/>
        <w:pageBreakBefore w:val="0"/>
        <w:widowControl w:val="0"/>
        <w:kinsoku/>
        <w:wordWrap/>
        <w:overflowPunct/>
        <w:topLinePunct w:val="0"/>
        <w:autoSpaceDE/>
        <w:autoSpaceDN/>
        <w:bidi w:val="0"/>
        <w:adjustRightInd w:val="0"/>
        <w:snapToGrid w:val="0"/>
        <w:spacing w:beforeLines="50" w:line="240" w:lineRule="atLeast"/>
        <w:ind w:firstLine="420" w:firstLineChars="200"/>
        <w:textAlignment w:val="auto"/>
        <w:rPr>
          <w:rFonts w:ascii="宋体" w:hAnsi="宋体"/>
          <w:szCs w:val="21"/>
          <w:highlight w:val="none"/>
        </w:rPr>
      </w:pPr>
      <w:r>
        <w:rPr>
          <w:rFonts w:hint="eastAsia" w:ascii="宋体" w:hAnsi="宋体"/>
          <w:szCs w:val="21"/>
          <w:highlight w:val="none"/>
        </w:rPr>
        <w:t>3、投标人已详细审查全部谈判文件。我们完全理解并同意放弃对这方面有不明及误解的权利。</w:t>
      </w:r>
    </w:p>
    <w:p>
      <w:pPr>
        <w:keepNext w:val="0"/>
        <w:keepLines w:val="0"/>
        <w:pageBreakBefore w:val="0"/>
        <w:widowControl w:val="0"/>
        <w:kinsoku/>
        <w:wordWrap/>
        <w:overflowPunct/>
        <w:topLinePunct w:val="0"/>
        <w:autoSpaceDE/>
        <w:autoSpaceDN/>
        <w:bidi w:val="0"/>
        <w:adjustRightInd w:val="0"/>
        <w:snapToGrid w:val="0"/>
        <w:spacing w:beforeLines="50" w:line="240" w:lineRule="atLeast"/>
        <w:ind w:firstLine="420" w:firstLineChars="200"/>
        <w:textAlignment w:val="auto"/>
        <w:rPr>
          <w:rFonts w:ascii="宋体" w:hAnsi="宋体"/>
          <w:highlight w:val="none"/>
        </w:rPr>
      </w:pPr>
      <w:r>
        <w:rPr>
          <w:rFonts w:hint="eastAsia" w:ascii="宋体" w:hAnsi="宋体"/>
          <w:szCs w:val="21"/>
          <w:highlight w:val="none"/>
        </w:rPr>
        <w:t>4、本谈判有效期为自谈判文件规定的提交谈判文件截止之日起</w:t>
      </w:r>
      <w:r>
        <w:rPr>
          <w:rFonts w:hint="eastAsia" w:ascii="宋体" w:hAnsi="宋体"/>
          <w:szCs w:val="21"/>
          <w:highlight w:val="none"/>
          <w:u w:val="single"/>
        </w:rPr>
        <w:t xml:space="preserve">      </w:t>
      </w:r>
      <w:r>
        <w:rPr>
          <w:rFonts w:hint="eastAsia" w:ascii="宋体" w:hAnsi="宋体"/>
          <w:szCs w:val="21"/>
          <w:highlight w:val="none"/>
        </w:rPr>
        <w:t>个日历日。在谈判有效期内</w:t>
      </w:r>
      <w:r>
        <w:rPr>
          <w:rFonts w:hint="eastAsia" w:ascii="宋体" w:hAnsi="宋体"/>
          <w:highlight w:val="none"/>
        </w:rPr>
        <w:t>我方同意遵守本</w:t>
      </w:r>
      <w:r>
        <w:rPr>
          <w:rFonts w:hint="eastAsia" w:ascii="宋体" w:hAnsi="宋体"/>
          <w:szCs w:val="21"/>
          <w:highlight w:val="none"/>
        </w:rPr>
        <w:t>谈判</w:t>
      </w:r>
      <w:r>
        <w:rPr>
          <w:rFonts w:hint="eastAsia" w:ascii="宋体" w:hAnsi="宋体"/>
          <w:highlight w:val="none"/>
        </w:rPr>
        <w:t>文件中的承诺且在此期限期满之前</w:t>
      </w:r>
      <w:r>
        <w:rPr>
          <w:rFonts w:hint="eastAsia" w:ascii="宋体" w:hAnsi="宋体"/>
          <w:szCs w:val="21"/>
          <w:highlight w:val="none"/>
        </w:rPr>
        <w:t>谈判</w:t>
      </w:r>
      <w:r>
        <w:rPr>
          <w:rFonts w:hint="eastAsia" w:ascii="宋体" w:hAnsi="宋体"/>
          <w:highlight w:val="none"/>
        </w:rPr>
        <w:t>文件</w:t>
      </w:r>
      <w:r>
        <w:rPr>
          <w:rFonts w:hint="eastAsia" w:ascii="宋体" w:hAnsi="宋体"/>
          <w:szCs w:val="21"/>
          <w:highlight w:val="none"/>
        </w:rPr>
        <w:t>对我方具有法律约束力</w:t>
      </w:r>
      <w:r>
        <w:rPr>
          <w:rFonts w:hint="eastAsia" w:ascii="宋体" w:hAnsi="宋体"/>
          <w:highlight w:val="none"/>
        </w:rPr>
        <w:t>。</w:t>
      </w:r>
    </w:p>
    <w:p>
      <w:pPr>
        <w:keepNext w:val="0"/>
        <w:keepLines w:val="0"/>
        <w:pageBreakBefore w:val="0"/>
        <w:widowControl w:val="0"/>
        <w:kinsoku/>
        <w:wordWrap/>
        <w:overflowPunct/>
        <w:topLinePunct w:val="0"/>
        <w:autoSpaceDE/>
        <w:autoSpaceDN/>
        <w:bidi w:val="0"/>
        <w:adjustRightInd w:val="0"/>
        <w:snapToGrid w:val="0"/>
        <w:spacing w:beforeLines="50" w:line="240" w:lineRule="atLeast"/>
        <w:ind w:firstLine="420" w:firstLineChars="200"/>
        <w:textAlignment w:val="auto"/>
        <w:rPr>
          <w:rFonts w:ascii="宋体" w:hAnsi="宋体"/>
          <w:szCs w:val="21"/>
          <w:highlight w:val="none"/>
        </w:rPr>
      </w:pPr>
      <w:r>
        <w:rPr>
          <w:rFonts w:hint="eastAsia" w:ascii="宋体" w:hAnsi="宋体"/>
          <w:szCs w:val="21"/>
          <w:highlight w:val="none"/>
        </w:rPr>
        <w:t>5、根据第二章“谈判须知”规定，我方承诺：</w:t>
      </w:r>
    </w:p>
    <w:p>
      <w:pPr>
        <w:keepNext w:val="0"/>
        <w:keepLines w:val="0"/>
        <w:pageBreakBefore w:val="0"/>
        <w:widowControl w:val="0"/>
        <w:kinsoku/>
        <w:wordWrap/>
        <w:overflowPunct/>
        <w:topLinePunct w:val="0"/>
        <w:autoSpaceDE/>
        <w:autoSpaceDN/>
        <w:bidi w:val="0"/>
        <w:adjustRightInd w:val="0"/>
        <w:snapToGrid w:val="0"/>
        <w:spacing w:beforeLines="50" w:line="240" w:lineRule="atLeast"/>
        <w:ind w:firstLine="420" w:firstLineChars="200"/>
        <w:textAlignment w:val="auto"/>
        <w:rPr>
          <w:rFonts w:ascii="宋体" w:hAnsi="宋体"/>
          <w:szCs w:val="21"/>
          <w:highlight w:val="none"/>
        </w:rPr>
      </w:pPr>
      <w:r>
        <w:rPr>
          <w:rFonts w:hint="eastAsia" w:ascii="宋体" w:hAnsi="宋体"/>
          <w:szCs w:val="21"/>
          <w:highlight w:val="none"/>
        </w:rPr>
        <w:t>(1) 我们在参加本项目政府采购活动前三年内，在经营活动中没有违背法律的行为，并提供“参加政府采购活动前三年内在经营活动中没有重大违法记录的书面声明”；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val="0"/>
        <w:snapToGrid w:val="0"/>
        <w:spacing w:beforeLines="50" w:line="240" w:lineRule="atLeast"/>
        <w:ind w:firstLine="420" w:firstLineChars="200"/>
        <w:textAlignment w:val="auto"/>
        <w:rPr>
          <w:rFonts w:ascii="宋体" w:hAnsi="宋体"/>
          <w:szCs w:val="21"/>
          <w:highlight w:val="none"/>
        </w:rPr>
      </w:pPr>
      <w:r>
        <w:rPr>
          <w:rFonts w:hint="eastAsia" w:ascii="宋体" w:hAnsi="宋体"/>
          <w:szCs w:val="21"/>
          <w:highlight w:val="none"/>
        </w:rPr>
        <w:t>(2) 我们依照有关法律的规定，没有偷税、漏税的行为，没有逃避缴纳社会保险资金的行为；</w:t>
      </w:r>
    </w:p>
    <w:p>
      <w:pPr>
        <w:keepNext w:val="0"/>
        <w:keepLines w:val="0"/>
        <w:pageBreakBefore w:val="0"/>
        <w:widowControl w:val="0"/>
        <w:kinsoku/>
        <w:wordWrap/>
        <w:overflowPunct/>
        <w:topLinePunct w:val="0"/>
        <w:autoSpaceDE/>
        <w:autoSpaceDN/>
        <w:bidi w:val="0"/>
        <w:adjustRightInd w:val="0"/>
        <w:snapToGrid w:val="0"/>
        <w:spacing w:beforeLines="50" w:line="240" w:lineRule="atLeast"/>
        <w:ind w:firstLine="420" w:firstLineChars="200"/>
        <w:textAlignment w:val="auto"/>
        <w:rPr>
          <w:rFonts w:ascii="宋体" w:hAnsi="宋体"/>
          <w:szCs w:val="21"/>
          <w:highlight w:val="none"/>
        </w:rPr>
      </w:pPr>
      <w:r>
        <w:rPr>
          <w:rFonts w:hint="eastAsia" w:ascii="宋体" w:hAnsi="宋体"/>
          <w:szCs w:val="21"/>
          <w:highlight w:val="none"/>
        </w:rPr>
        <w:t>(3) 与采购人和采购代理机构</w:t>
      </w:r>
      <w:r>
        <w:rPr>
          <w:rFonts w:hint="eastAsia" w:ascii="宋体" w:hAnsi="宋体"/>
          <w:bCs/>
          <w:szCs w:val="21"/>
          <w:highlight w:val="none"/>
        </w:rPr>
        <w:t>无任何的隶属关系或者其他利害关系</w:t>
      </w:r>
      <w:r>
        <w:rPr>
          <w:rFonts w:hint="eastAsia" w:ascii="宋体" w:hAnsi="宋体"/>
          <w:szCs w:val="21"/>
          <w:highlight w:val="none"/>
        </w:rPr>
        <w:t>。</w:t>
      </w:r>
    </w:p>
    <w:p>
      <w:pPr>
        <w:keepNext w:val="0"/>
        <w:keepLines w:val="0"/>
        <w:pageBreakBefore w:val="0"/>
        <w:widowControl w:val="0"/>
        <w:kinsoku/>
        <w:wordWrap/>
        <w:overflowPunct/>
        <w:topLinePunct w:val="0"/>
        <w:autoSpaceDE/>
        <w:autoSpaceDN/>
        <w:bidi w:val="0"/>
        <w:adjustRightInd w:val="0"/>
        <w:snapToGrid w:val="0"/>
        <w:spacing w:beforeLines="50" w:line="240" w:lineRule="atLeast"/>
        <w:ind w:firstLine="420" w:firstLineChars="200"/>
        <w:textAlignment w:val="auto"/>
        <w:rPr>
          <w:rFonts w:ascii="宋体" w:hAnsi="宋体"/>
          <w:szCs w:val="21"/>
          <w:highlight w:val="none"/>
        </w:rPr>
      </w:pPr>
      <w:r>
        <w:rPr>
          <w:rFonts w:hint="eastAsia" w:ascii="宋体" w:hAnsi="宋体"/>
          <w:szCs w:val="21"/>
          <w:highlight w:val="none"/>
        </w:rPr>
        <w:t xml:space="preserve">6、同意提供贵方可能要求的与其谈判有关的一切数据或资料。 </w:t>
      </w:r>
    </w:p>
    <w:p>
      <w:pPr>
        <w:keepNext w:val="0"/>
        <w:keepLines w:val="0"/>
        <w:pageBreakBefore w:val="0"/>
        <w:widowControl w:val="0"/>
        <w:kinsoku/>
        <w:wordWrap/>
        <w:overflowPunct/>
        <w:topLinePunct w:val="0"/>
        <w:autoSpaceDE/>
        <w:autoSpaceDN/>
        <w:bidi w:val="0"/>
        <w:adjustRightInd w:val="0"/>
        <w:snapToGrid w:val="0"/>
        <w:spacing w:beforeLines="50" w:line="240" w:lineRule="atLeast"/>
        <w:ind w:firstLine="420" w:firstLineChars="200"/>
        <w:textAlignment w:val="auto"/>
        <w:rPr>
          <w:rFonts w:ascii="宋体" w:hAnsi="宋体"/>
          <w:szCs w:val="21"/>
          <w:highlight w:val="none"/>
        </w:rPr>
      </w:pPr>
      <w:r>
        <w:rPr>
          <w:rFonts w:hint="eastAsia" w:ascii="宋体" w:hAnsi="宋体"/>
          <w:szCs w:val="21"/>
          <w:highlight w:val="none"/>
        </w:rPr>
        <w:t>7、废标后，在收到贵方的通知后，我方本谈判函及所有谈判文件中声明、授权、承诺、盖章签字等，对于贵方采用竞争性谈判采购仍然有效。我方遵守贵方谈判文件关于特殊情形采用竞争性谈判采购的有关规定，并无异议。</w:t>
      </w:r>
    </w:p>
    <w:p>
      <w:pPr>
        <w:pStyle w:val="17"/>
        <w:keepNext w:val="0"/>
        <w:keepLines w:val="0"/>
        <w:pageBreakBefore w:val="0"/>
        <w:widowControl w:val="0"/>
        <w:kinsoku/>
        <w:wordWrap/>
        <w:overflowPunct/>
        <w:topLinePunct w:val="0"/>
        <w:autoSpaceDE/>
        <w:autoSpaceDN/>
        <w:bidi w:val="0"/>
        <w:adjustRightInd w:val="0"/>
        <w:snapToGrid w:val="0"/>
        <w:spacing w:beforeLines="50" w:line="240" w:lineRule="atLeast"/>
        <w:textAlignment w:val="auto"/>
        <w:rPr>
          <w:rFonts w:hAnsi="宋体"/>
          <w:highlight w:val="none"/>
        </w:rPr>
      </w:pPr>
      <w:r>
        <w:rPr>
          <w:rFonts w:hint="eastAsia" w:hAnsi="宋体"/>
          <w:highlight w:val="none"/>
        </w:rPr>
        <w:t>投标人名称(盖章)：</w:t>
      </w:r>
    </w:p>
    <w:p>
      <w:pPr>
        <w:keepNext w:val="0"/>
        <w:keepLines w:val="0"/>
        <w:pageBreakBefore w:val="0"/>
        <w:widowControl w:val="0"/>
        <w:kinsoku/>
        <w:wordWrap/>
        <w:overflowPunct/>
        <w:topLinePunct w:val="0"/>
        <w:autoSpaceDE/>
        <w:autoSpaceDN/>
        <w:bidi w:val="0"/>
        <w:adjustRightInd w:val="0"/>
        <w:snapToGrid w:val="0"/>
        <w:spacing w:beforeLines="50" w:line="240" w:lineRule="atLeast"/>
        <w:textAlignment w:val="auto"/>
        <w:rPr>
          <w:rFonts w:hint="eastAsia" w:ascii="宋体" w:hAnsi="宋体"/>
          <w:szCs w:val="21"/>
          <w:highlight w:val="none"/>
          <w:u w:val="single"/>
        </w:rPr>
      </w:pPr>
      <w:r>
        <w:rPr>
          <w:rFonts w:hint="eastAsia" w:ascii="宋体" w:hAnsi="宋体"/>
          <w:szCs w:val="21"/>
          <w:highlight w:val="none"/>
        </w:rPr>
        <w:t>法定代表人或其授权的代理人(签字)：</w:t>
      </w:r>
      <w:r>
        <w:rPr>
          <w:rFonts w:hint="eastAsia" w:ascii="宋体" w:hAnsi="宋体"/>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Lines="50" w:line="240" w:lineRule="atLeast"/>
        <w:textAlignment w:val="auto"/>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adjustRightInd w:val="0"/>
        <w:snapToGrid w:val="0"/>
        <w:spacing w:beforeLines="50" w:line="360" w:lineRule="auto"/>
        <w:ind w:left="-88" w:leftChars="-42"/>
        <w:rPr>
          <w:rFonts w:ascii="宋体" w:hAnsi="宋体"/>
          <w:sz w:val="24"/>
          <w:highlight w:val="none"/>
        </w:rPr>
      </w:pPr>
    </w:p>
    <w:p>
      <w:pPr>
        <w:pStyle w:val="4"/>
        <w:spacing w:before="0" w:line="240" w:lineRule="atLeast"/>
        <w:ind w:left="0" w:firstLine="482" w:firstLineChars="200"/>
        <w:rPr>
          <w:rFonts w:ascii="宋体" w:hAnsi="宋体" w:eastAsia="宋体"/>
          <w:sz w:val="24"/>
          <w:szCs w:val="24"/>
          <w:highlight w:val="none"/>
        </w:rPr>
      </w:pPr>
    </w:p>
    <w:p>
      <w:pPr>
        <w:rPr>
          <w:rFonts w:ascii="宋体" w:hAnsi="宋体" w:eastAsia="宋体"/>
          <w:sz w:val="24"/>
          <w:szCs w:val="24"/>
          <w:highlight w:val="none"/>
        </w:rPr>
      </w:pPr>
    </w:p>
    <w:p>
      <w:pPr>
        <w:pStyle w:val="45"/>
        <w:rPr>
          <w:rFonts w:ascii="宋体" w:hAnsi="宋体" w:eastAsia="宋体"/>
          <w:sz w:val="24"/>
          <w:szCs w:val="24"/>
          <w:highlight w:val="none"/>
        </w:rPr>
      </w:pPr>
    </w:p>
    <w:p>
      <w:pPr>
        <w:pStyle w:val="45"/>
        <w:rPr>
          <w:rFonts w:ascii="宋体" w:hAnsi="宋体" w:eastAsia="宋体"/>
          <w:sz w:val="24"/>
          <w:szCs w:val="24"/>
          <w:highlight w:val="none"/>
        </w:rPr>
      </w:pPr>
    </w:p>
    <w:p>
      <w:pPr>
        <w:pStyle w:val="45"/>
        <w:rPr>
          <w:rFonts w:ascii="宋体" w:hAnsi="宋体" w:eastAsia="宋体"/>
          <w:sz w:val="24"/>
          <w:szCs w:val="24"/>
          <w:highlight w:val="none"/>
        </w:rPr>
      </w:pPr>
    </w:p>
    <w:p>
      <w:pPr>
        <w:pStyle w:val="45"/>
        <w:rPr>
          <w:rFonts w:ascii="宋体" w:hAnsi="宋体" w:eastAsia="宋体"/>
          <w:sz w:val="24"/>
          <w:szCs w:val="24"/>
          <w:highlight w:val="none"/>
        </w:rPr>
      </w:pPr>
    </w:p>
    <w:p>
      <w:pPr>
        <w:pStyle w:val="45"/>
        <w:rPr>
          <w:rFonts w:ascii="宋体" w:hAnsi="宋体" w:eastAsia="宋体"/>
          <w:sz w:val="24"/>
          <w:szCs w:val="24"/>
          <w:highlight w:val="none"/>
        </w:rPr>
      </w:pPr>
    </w:p>
    <w:p>
      <w:pPr>
        <w:pStyle w:val="45"/>
        <w:rPr>
          <w:rFonts w:ascii="宋体" w:hAnsi="宋体" w:eastAsia="宋体"/>
          <w:sz w:val="24"/>
          <w:szCs w:val="24"/>
          <w:highlight w:val="none"/>
        </w:rPr>
      </w:pPr>
    </w:p>
    <w:p>
      <w:pPr>
        <w:pStyle w:val="45"/>
        <w:rPr>
          <w:rFonts w:ascii="宋体" w:hAnsi="宋体" w:eastAsia="宋体"/>
          <w:sz w:val="24"/>
          <w:szCs w:val="24"/>
          <w:highlight w:val="none"/>
        </w:rPr>
      </w:pPr>
    </w:p>
    <w:p>
      <w:pPr>
        <w:pStyle w:val="45"/>
        <w:rPr>
          <w:rFonts w:ascii="宋体" w:hAnsi="宋体" w:eastAsia="宋体"/>
          <w:sz w:val="24"/>
          <w:szCs w:val="24"/>
          <w:highlight w:val="none"/>
        </w:rPr>
      </w:pPr>
    </w:p>
    <w:p>
      <w:pPr>
        <w:pStyle w:val="45"/>
        <w:rPr>
          <w:rFonts w:ascii="宋体" w:hAnsi="宋体" w:eastAsia="宋体"/>
          <w:sz w:val="24"/>
          <w:szCs w:val="24"/>
          <w:highlight w:val="none"/>
        </w:rPr>
      </w:pPr>
    </w:p>
    <w:p>
      <w:pPr>
        <w:pStyle w:val="4"/>
        <w:spacing w:before="0" w:line="240" w:lineRule="atLeast"/>
        <w:ind w:left="0" w:firstLine="0"/>
        <w:rPr>
          <w:rFonts w:ascii="宋体" w:hAnsi="宋体" w:eastAsia="宋体"/>
          <w:sz w:val="24"/>
          <w:szCs w:val="24"/>
          <w:highlight w:val="none"/>
        </w:rPr>
      </w:pPr>
      <w:bookmarkStart w:id="180" w:name="_Toc29121_WPSOffice_Level3"/>
      <w:bookmarkStart w:id="181" w:name="_Toc6172"/>
      <w:bookmarkStart w:id="182" w:name="_格式2：开标一览表"/>
      <w:r>
        <w:rPr>
          <w:rFonts w:hint="eastAsia" w:ascii="宋体" w:hAnsi="宋体" w:eastAsia="宋体"/>
          <w:sz w:val="24"/>
          <w:szCs w:val="24"/>
          <w:highlight w:val="none"/>
        </w:rPr>
        <w:t>格式2：竞争性谈判报价一览表</w:t>
      </w:r>
      <w:bookmarkEnd w:id="163"/>
      <w:bookmarkEnd w:id="170"/>
      <w:bookmarkEnd w:id="180"/>
      <w:bookmarkEnd w:id="181"/>
    </w:p>
    <w:bookmarkEnd w:id="182"/>
    <w:p>
      <w:pPr>
        <w:spacing w:line="360" w:lineRule="auto"/>
        <w:jc w:val="center"/>
        <w:rPr>
          <w:rFonts w:ascii="宋体"/>
          <w:b/>
          <w:bCs/>
          <w:sz w:val="28"/>
          <w:szCs w:val="28"/>
          <w:highlight w:val="none"/>
        </w:rPr>
      </w:pPr>
    </w:p>
    <w:p>
      <w:pPr>
        <w:spacing w:line="360" w:lineRule="auto"/>
        <w:jc w:val="center"/>
        <w:rPr>
          <w:rFonts w:ascii="宋体"/>
          <w:b/>
          <w:bCs/>
          <w:sz w:val="28"/>
          <w:szCs w:val="28"/>
          <w:highlight w:val="none"/>
        </w:rPr>
      </w:pPr>
      <w:r>
        <w:rPr>
          <w:rFonts w:hint="eastAsia" w:ascii="宋体"/>
          <w:b/>
          <w:bCs/>
          <w:sz w:val="28"/>
          <w:szCs w:val="28"/>
          <w:highlight w:val="none"/>
        </w:rPr>
        <w:t>竞争性谈判报价一览表</w:t>
      </w:r>
    </w:p>
    <w:p>
      <w:pPr>
        <w:spacing w:line="400" w:lineRule="exact"/>
        <w:rPr>
          <w:rFonts w:ascii="宋体"/>
          <w:sz w:val="24"/>
          <w:highlight w:val="none"/>
        </w:rPr>
      </w:pPr>
    </w:p>
    <w:p>
      <w:pPr>
        <w:spacing w:before="7"/>
        <w:rPr>
          <w:rFonts w:hint="eastAsia" w:ascii="仿宋" w:hAnsi="仿宋" w:eastAsia="仿宋" w:cs="仿宋"/>
          <w:b/>
          <w:bCs/>
          <w:szCs w:val="21"/>
        </w:rPr>
      </w:pPr>
    </w:p>
    <w:p>
      <w:pPr>
        <w:tabs>
          <w:tab w:val="left" w:pos="3397"/>
        </w:tabs>
        <w:spacing w:before="34" w:line="340" w:lineRule="auto"/>
        <w:ind w:left="212" w:right="6669"/>
        <w:rPr>
          <w:rFonts w:hint="eastAsia" w:ascii="仿宋" w:hAnsi="仿宋" w:eastAsia="仿宋" w:cs="仿宋"/>
          <w:szCs w:val="21"/>
        </w:rPr>
      </w:pPr>
      <w:r>
        <w:rPr>
          <w:rFonts w:hint="eastAsia" w:ascii="仿宋" w:hAnsi="仿宋" w:eastAsia="仿宋" w:cs="仿宋"/>
          <w:szCs w:val="21"/>
        </w:rPr>
        <w:t>采购项目编号:</w:t>
      </w:r>
      <w:r>
        <w:rPr>
          <w:rFonts w:hint="eastAsia" w:ascii="仿宋" w:hAnsi="仿宋" w:eastAsia="仿宋" w:cs="仿宋"/>
          <w:w w:val="99"/>
          <w:szCs w:val="21"/>
          <w:u w:val="single" w:color="000000"/>
        </w:rPr>
        <w:t xml:space="preserve"> </w:t>
      </w:r>
      <w:r>
        <w:rPr>
          <w:rFonts w:hint="eastAsia" w:ascii="仿宋" w:hAnsi="仿宋" w:eastAsia="仿宋" w:cs="仿宋"/>
          <w:szCs w:val="21"/>
          <w:u w:val="single" w:color="000000"/>
        </w:rPr>
        <w:tab/>
      </w:r>
      <w:r>
        <w:rPr>
          <w:rFonts w:hint="eastAsia" w:ascii="仿宋" w:hAnsi="仿宋" w:eastAsia="仿宋" w:cs="仿宋"/>
          <w:w w:val="34"/>
          <w:szCs w:val="21"/>
          <w:u w:val="single" w:color="000000"/>
        </w:rPr>
        <w:t xml:space="preserve"> </w:t>
      </w:r>
      <w:r>
        <w:rPr>
          <w:rFonts w:hint="eastAsia" w:ascii="仿宋" w:hAnsi="仿宋" w:eastAsia="仿宋" w:cs="仿宋"/>
          <w:szCs w:val="21"/>
        </w:rPr>
        <w:t xml:space="preserve"> 采购项目名称:</w:t>
      </w:r>
      <w:r>
        <w:rPr>
          <w:rFonts w:hint="eastAsia" w:ascii="仿宋" w:hAnsi="仿宋" w:eastAsia="仿宋" w:cs="仿宋"/>
          <w:w w:val="99"/>
          <w:szCs w:val="21"/>
          <w:u w:val="single" w:color="000000"/>
        </w:rPr>
        <w:t xml:space="preserve"> </w:t>
      </w:r>
      <w:r>
        <w:rPr>
          <w:rFonts w:hint="eastAsia" w:ascii="仿宋" w:hAnsi="仿宋" w:eastAsia="仿宋" w:cs="仿宋"/>
          <w:szCs w:val="21"/>
          <w:u w:val="single" w:color="000000"/>
        </w:rPr>
        <w:tab/>
      </w:r>
      <w:r>
        <w:rPr>
          <w:rFonts w:hint="eastAsia" w:ascii="仿宋" w:hAnsi="仿宋" w:eastAsia="仿宋" w:cs="仿宋"/>
          <w:w w:val="34"/>
          <w:szCs w:val="21"/>
          <w:u w:val="single" w:color="000000"/>
        </w:rPr>
        <w:t xml:space="preserve"> </w:t>
      </w:r>
      <w:r>
        <w:rPr>
          <w:rFonts w:hint="eastAsia" w:ascii="仿宋" w:hAnsi="仿宋" w:eastAsia="仿宋" w:cs="仿宋"/>
          <w:szCs w:val="21"/>
        </w:rPr>
        <w:t xml:space="preserve"> </w:t>
      </w:r>
    </w:p>
    <w:p>
      <w:pPr>
        <w:pStyle w:val="2"/>
        <w:ind w:firstLine="420"/>
        <w:rPr>
          <w:rFonts w:hint="eastAsia" w:ascii="仿宋" w:hAnsi="仿宋" w:eastAsia="仿宋" w:cs="仿宋"/>
        </w:rPr>
      </w:pPr>
    </w:p>
    <w:tbl>
      <w:tblPr>
        <w:tblStyle w:val="37"/>
        <w:tblW w:w="0" w:type="auto"/>
        <w:tblInd w:w="101" w:type="dxa"/>
        <w:tblLayout w:type="fixed"/>
        <w:tblCellMar>
          <w:top w:w="0" w:type="dxa"/>
          <w:left w:w="0" w:type="dxa"/>
          <w:bottom w:w="0" w:type="dxa"/>
          <w:right w:w="0" w:type="dxa"/>
        </w:tblCellMar>
      </w:tblPr>
      <w:tblGrid>
        <w:gridCol w:w="742"/>
        <w:gridCol w:w="2466"/>
        <w:gridCol w:w="6643"/>
      </w:tblGrid>
      <w:tr>
        <w:tblPrEx>
          <w:tblCellMar>
            <w:top w:w="0" w:type="dxa"/>
            <w:left w:w="0" w:type="dxa"/>
            <w:bottom w:w="0" w:type="dxa"/>
            <w:right w:w="0" w:type="dxa"/>
          </w:tblCellMar>
        </w:tblPrEx>
        <w:trPr>
          <w:trHeight w:val="1121" w:hRule="exact"/>
        </w:trPr>
        <w:tc>
          <w:tcPr>
            <w:tcW w:w="742" w:type="dxa"/>
            <w:tcBorders>
              <w:top w:val="single" w:color="000009" w:sz="4" w:space="0"/>
              <w:left w:val="single" w:color="000009" w:sz="4" w:space="0"/>
              <w:right w:val="single" w:color="000009" w:sz="4" w:space="0"/>
            </w:tcBorders>
            <w:noWrap w:val="0"/>
            <w:vAlign w:val="top"/>
          </w:tcPr>
          <w:p>
            <w:pPr>
              <w:pStyle w:val="119"/>
              <w:spacing w:before="3"/>
              <w:jc w:val="left"/>
              <w:rPr>
                <w:rFonts w:hint="eastAsia" w:ascii="仿宋" w:hAnsi="仿宋" w:eastAsia="仿宋" w:cs="仿宋"/>
                <w:sz w:val="17"/>
                <w:szCs w:val="17"/>
              </w:rPr>
            </w:pPr>
          </w:p>
          <w:p>
            <w:pPr>
              <w:pStyle w:val="119"/>
              <w:ind w:left="150"/>
              <w:jc w:val="left"/>
              <w:rPr>
                <w:rFonts w:hint="eastAsia" w:ascii="仿宋" w:hAnsi="仿宋" w:eastAsia="仿宋" w:cs="仿宋"/>
                <w:szCs w:val="21"/>
              </w:rPr>
            </w:pPr>
            <w:r>
              <w:rPr>
                <w:rFonts w:hint="eastAsia" w:ascii="仿宋" w:hAnsi="仿宋" w:eastAsia="仿宋" w:cs="仿宋"/>
                <w:szCs w:val="21"/>
              </w:rPr>
              <w:t>序号</w:t>
            </w:r>
          </w:p>
        </w:tc>
        <w:tc>
          <w:tcPr>
            <w:tcW w:w="2466" w:type="dxa"/>
            <w:tcBorders>
              <w:top w:val="single" w:color="000009" w:sz="4" w:space="0"/>
              <w:left w:val="single" w:color="000009" w:sz="4" w:space="0"/>
              <w:right w:val="single" w:color="000009" w:sz="4" w:space="0"/>
            </w:tcBorders>
            <w:noWrap w:val="0"/>
            <w:vAlign w:val="top"/>
          </w:tcPr>
          <w:p>
            <w:pPr>
              <w:pStyle w:val="119"/>
              <w:spacing w:before="3"/>
              <w:jc w:val="left"/>
              <w:rPr>
                <w:rFonts w:hint="eastAsia" w:ascii="仿宋" w:hAnsi="仿宋" w:eastAsia="仿宋" w:cs="仿宋"/>
                <w:sz w:val="17"/>
                <w:szCs w:val="17"/>
              </w:rPr>
            </w:pPr>
          </w:p>
          <w:p>
            <w:pPr>
              <w:pStyle w:val="119"/>
              <w:ind w:left="802"/>
              <w:jc w:val="left"/>
              <w:rPr>
                <w:rFonts w:hint="eastAsia" w:ascii="仿宋" w:hAnsi="仿宋" w:eastAsia="仿宋" w:cs="仿宋"/>
                <w:szCs w:val="21"/>
              </w:rPr>
            </w:pPr>
            <w:r>
              <w:rPr>
                <w:rFonts w:hint="eastAsia" w:ascii="仿宋" w:hAnsi="仿宋" w:eastAsia="仿宋" w:cs="仿宋"/>
                <w:szCs w:val="21"/>
              </w:rPr>
              <w:t>采购项目</w:t>
            </w:r>
          </w:p>
        </w:tc>
        <w:tc>
          <w:tcPr>
            <w:tcW w:w="6643" w:type="dxa"/>
            <w:tcBorders>
              <w:top w:val="single" w:color="000009" w:sz="4" w:space="0"/>
              <w:left w:val="single" w:color="000009" w:sz="4" w:space="0"/>
              <w:bottom w:val="single" w:color="000009" w:sz="4" w:space="0"/>
              <w:right w:val="single" w:color="000009" w:sz="4" w:space="0"/>
            </w:tcBorders>
            <w:noWrap w:val="0"/>
            <w:vAlign w:val="top"/>
          </w:tcPr>
          <w:p>
            <w:pPr>
              <w:pStyle w:val="119"/>
              <w:spacing w:before="3"/>
              <w:jc w:val="left"/>
              <w:rPr>
                <w:rFonts w:hint="eastAsia" w:ascii="仿宋" w:hAnsi="仿宋" w:eastAsia="仿宋" w:cs="仿宋"/>
                <w:sz w:val="17"/>
                <w:szCs w:val="17"/>
              </w:rPr>
            </w:pPr>
          </w:p>
          <w:p>
            <w:pPr>
              <w:pStyle w:val="119"/>
              <w:ind w:right="10"/>
              <w:jc w:val="center"/>
              <w:rPr>
                <w:rFonts w:hint="eastAsia" w:ascii="仿宋" w:hAnsi="仿宋" w:eastAsia="仿宋" w:cs="仿宋"/>
                <w:szCs w:val="21"/>
              </w:rPr>
            </w:pPr>
            <w:r>
              <w:rPr>
                <w:rFonts w:hint="eastAsia" w:ascii="仿宋" w:hAnsi="仿宋" w:eastAsia="仿宋" w:cs="仿宋"/>
                <w:szCs w:val="21"/>
              </w:rPr>
              <w:t>报价</w:t>
            </w:r>
          </w:p>
        </w:tc>
      </w:tr>
      <w:tr>
        <w:tblPrEx>
          <w:tblCellMar>
            <w:top w:w="0" w:type="dxa"/>
            <w:left w:w="0" w:type="dxa"/>
            <w:bottom w:w="0" w:type="dxa"/>
            <w:right w:w="0" w:type="dxa"/>
          </w:tblCellMar>
        </w:tblPrEx>
        <w:trPr>
          <w:trHeight w:val="1537" w:hRule="exact"/>
        </w:trPr>
        <w:tc>
          <w:tcPr>
            <w:tcW w:w="742" w:type="dxa"/>
            <w:tcBorders>
              <w:top w:val="single" w:color="000009" w:sz="4" w:space="0"/>
              <w:left w:val="single" w:color="000009" w:sz="4" w:space="0"/>
              <w:bottom w:val="single" w:color="000009" w:sz="4" w:space="0"/>
              <w:right w:val="single" w:color="000009" w:sz="4" w:space="0"/>
            </w:tcBorders>
            <w:noWrap w:val="0"/>
            <w:vAlign w:val="center"/>
          </w:tcPr>
          <w:p>
            <w:pPr>
              <w:pStyle w:val="119"/>
              <w:spacing w:before="1"/>
              <w:jc w:val="center"/>
              <w:rPr>
                <w:rFonts w:hint="eastAsia" w:ascii="仿宋" w:hAnsi="仿宋" w:eastAsia="仿宋" w:cs="仿宋"/>
                <w:sz w:val="18"/>
                <w:szCs w:val="18"/>
              </w:rPr>
            </w:pPr>
          </w:p>
          <w:p>
            <w:pPr>
              <w:pStyle w:val="119"/>
              <w:ind w:right="28"/>
              <w:jc w:val="center"/>
              <w:rPr>
                <w:rFonts w:hint="eastAsia" w:ascii="仿宋" w:hAnsi="仿宋" w:eastAsia="仿宋" w:cs="仿宋"/>
                <w:szCs w:val="21"/>
              </w:rPr>
            </w:pPr>
            <w:r>
              <w:rPr>
                <w:rFonts w:hint="eastAsia" w:ascii="仿宋" w:hAnsi="仿宋" w:eastAsia="仿宋" w:cs="仿宋"/>
                <w:w w:val="99"/>
              </w:rPr>
              <w:t>1</w:t>
            </w:r>
          </w:p>
        </w:tc>
        <w:tc>
          <w:tcPr>
            <w:tcW w:w="2466" w:type="dxa"/>
            <w:tcBorders>
              <w:top w:val="single" w:color="000009" w:sz="4" w:space="0"/>
              <w:left w:val="single" w:color="000009" w:sz="4" w:space="0"/>
              <w:bottom w:val="single" w:color="000009" w:sz="4" w:space="0"/>
              <w:right w:val="single" w:color="000009" w:sz="4" w:space="0"/>
            </w:tcBorders>
            <w:noWrap w:val="0"/>
            <w:vAlign w:val="center"/>
          </w:tcPr>
          <w:p>
            <w:pPr>
              <w:spacing w:line="360" w:lineRule="auto"/>
              <w:jc w:val="center"/>
              <w:rPr>
                <w:rFonts w:hint="eastAsia" w:ascii="仿宋" w:hAnsi="仿宋" w:eastAsia="仿宋" w:cs="仿宋"/>
                <w:sz w:val="24"/>
                <w:lang w:eastAsia="zh-CN"/>
              </w:rPr>
            </w:pPr>
            <w:r>
              <w:rPr>
                <w:rFonts w:hint="eastAsia" w:ascii="仿宋" w:hAnsi="仿宋" w:eastAsia="仿宋" w:cs="仿宋"/>
                <w:sz w:val="24"/>
                <w:lang w:eastAsia="zh-CN"/>
              </w:rPr>
              <w:t>搬运服务每人每天</w:t>
            </w:r>
          </w:p>
        </w:tc>
        <w:tc>
          <w:tcPr>
            <w:tcW w:w="6643" w:type="dxa"/>
            <w:tcBorders>
              <w:top w:val="single" w:color="000009" w:sz="4" w:space="0"/>
              <w:left w:val="single" w:color="000009" w:sz="4" w:space="0"/>
              <w:bottom w:val="single" w:color="000009" w:sz="4" w:space="0"/>
              <w:right w:val="single" w:color="000009" w:sz="4" w:space="0"/>
            </w:tcBorders>
            <w:noWrap w:val="0"/>
            <w:vAlign w:val="center"/>
          </w:tcPr>
          <w:p>
            <w:pPr>
              <w:pStyle w:val="119"/>
              <w:tabs>
                <w:tab w:val="left" w:pos="2673"/>
              </w:tabs>
              <w:spacing w:before="135"/>
              <w:ind w:left="93"/>
              <w:jc w:val="center"/>
              <w:rPr>
                <w:rFonts w:hint="eastAsia" w:ascii="仿宋" w:hAnsi="仿宋" w:eastAsia="仿宋" w:cs="仿宋"/>
                <w:sz w:val="24"/>
              </w:rPr>
            </w:pPr>
            <w:r>
              <w:rPr>
                <w:rFonts w:hint="eastAsia" w:ascii="仿宋" w:hAnsi="仿宋" w:eastAsia="仿宋" w:cs="仿宋"/>
                <w:sz w:val="24"/>
              </w:rPr>
              <w:t>小写       （大写：人民币    ）</w:t>
            </w:r>
          </w:p>
        </w:tc>
      </w:tr>
    </w:tbl>
    <w:p>
      <w:pPr>
        <w:spacing w:before="4"/>
        <w:rPr>
          <w:rFonts w:hint="eastAsia" w:ascii="仿宋" w:hAnsi="仿宋" w:eastAsia="仿宋" w:cs="仿宋"/>
          <w:sz w:val="9"/>
          <w:szCs w:val="9"/>
        </w:rPr>
      </w:pPr>
    </w:p>
    <w:p>
      <w:pPr>
        <w:spacing w:before="34" w:line="436" w:lineRule="auto"/>
        <w:ind w:left="212"/>
        <w:jc w:val="left"/>
        <w:rPr>
          <w:rFonts w:hint="eastAsia" w:ascii="仿宋" w:hAnsi="仿宋" w:eastAsia="仿宋" w:cs="仿宋"/>
          <w:szCs w:val="21"/>
        </w:rPr>
      </w:pPr>
      <w:r>
        <w:rPr>
          <w:rFonts w:hint="eastAsia" w:ascii="仿宋" w:hAnsi="仿宋" w:eastAsia="仿宋" w:cs="仿宋"/>
          <w:szCs w:val="21"/>
        </w:rPr>
        <w:t>注：</w:t>
      </w:r>
    </w:p>
    <w:p>
      <w:pPr>
        <w:spacing w:before="34" w:line="436" w:lineRule="auto"/>
        <w:ind w:left="212" w:firstLine="420" w:firstLineChars="200"/>
        <w:jc w:val="left"/>
        <w:rPr>
          <w:rFonts w:hint="eastAsia" w:ascii="仿宋" w:hAnsi="仿宋" w:eastAsia="仿宋" w:cs="仿宋"/>
          <w:szCs w:val="21"/>
        </w:rPr>
      </w:pPr>
      <w:r>
        <w:rPr>
          <w:rFonts w:hint="eastAsia" w:ascii="仿宋" w:hAnsi="仿宋" w:eastAsia="仿宋" w:cs="仿宋"/>
          <w:szCs w:val="21"/>
        </w:rPr>
        <w:t>人民币含税价，并包括完成本</w:t>
      </w:r>
      <w:r>
        <w:rPr>
          <w:rFonts w:hint="eastAsia" w:ascii="仿宋" w:hAnsi="仿宋" w:eastAsia="仿宋" w:cs="仿宋"/>
          <w:szCs w:val="21"/>
          <w:lang w:eastAsia="zh-CN"/>
        </w:rPr>
        <w:t>项目</w:t>
      </w:r>
      <w:r>
        <w:rPr>
          <w:rFonts w:hint="eastAsia" w:ascii="仿宋" w:hAnsi="仿宋" w:eastAsia="仿宋" w:cs="仿宋"/>
          <w:szCs w:val="21"/>
        </w:rPr>
        <w:t>所需所有费用。</w:t>
      </w:r>
    </w:p>
    <w:p>
      <w:pPr>
        <w:rPr>
          <w:rFonts w:hint="eastAsia" w:ascii="仿宋" w:hAnsi="仿宋" w:eastAsia="仿宋" w:cs="仿宋"/>
          <w:sz w:val="20"/>
          <w:szCs w:val="20"/>
        </w:rPr>
      </w:pPr>
    </w:p>
    <w:p>
      <w:pPr>
        <w:rPr>
          <w:rFonts w:hint="eastAsia" w:ascii="仿宋" w:hAnsi="仿宋" w:eastAsia="仿宋" w:cs="仿宋"/>
          <w:sz w:val="20"/>
          <w:szCs w:val="20"/>
        </w:rPr>
      </w:pPr>
    </w:p>
    <w:p>
      <w:pPr>
        <w:rPr>
          <w:rFonts w:hint="eastAsia" w:ascii="仿宋" w:hAnsi="仿宋" w:eastAsia="仿宋" w:cs="仿宋"/>
          <w:sz w:val="20"/>
          <w:szCs w:val="20"/>
        </w:rPr>
      </w:pPr>
    </w:p>
    <w:p>
      <w:pPr>
        <w:rPr>
          <w:rFonts w:hint="eastAsia" w:ascii="仿宋" w:hAnsi="仿宋" w:eastAsia="仿宋" w:cs="仿宋"/>
          <w:sz w:val="20"/>
          <w:szCs w:val="20"/>
        </w:rPr>
      </w:pPr>
    </w:p>
    <w:p>
      <w:pPr>
        <w:tabs>
          <w:tab w:val="left" w:pos="5515"/>
        </w:tabs>
        <w:spacing w:before="178"/>
        <w:ind w:left="212"/>
        <w:jc w:val="left"/>
        <w:rPr>
          <w:rFonts w:hint="eastAsia" w:ascii="仿宋" w:hAnsi="仿宋" w:eastAsia="仿宋" w:cs="仿宋"/>
          <w:szCs w:val="21"/>
        </w:rPr>
      </w:pPr>
      <w:r>
        <w:rPr>
          <w:rFonts w:hint="eastAsia" w:ascii="仿宋" w:hAnsi="仿宋" w:eastAsia="仿宋" w:cs="仿宋"/>
          <w:szCs w:val="21"/>
        </w:rPr>
        <w:t>法定代表人或委托代理人（签字）：</w:t>
      </w:r>
      <w:r>
        <w:rPr>
          <w:rFonts w:hint="eastAsia" w:ascii="仿宋" w:hAnsi="仿宋" w:eastAsia="仿宋" w:cs="仿宋"/>
          <w:szCs w:val="21"/>
          <w:u w:val="single" w:color="000000"/>
        </w:rPr>
        <w:t xml:space="preserve"> </w:t>
      </w:r>
      <w:r>
        <w:rPr>
          <w:rFonts w:hint="eastAsia" w:ascii="仿宋" w:hAnsi="仿宋" w:eastAsia="仿宋" w:cs="仿宋"/>
          <w:szCs w:val="21"/>
          <w:u w:val="single" w:color="000000"/>
        </w:rPr>
        <w:tab/>
      </w:r>
    </w:p>
    <w:p>
      <w:pPr>
        <w:spacing w:before="6"/>
        <w:rPr>
          <w:rFonts w:hint="eastAsia" w:ascii="仿宋" w:hAnsi="仿宋" w:eastAsia="仿宋" w:cs="仿宋"/>
          <w:sz w:val="16"/>
          <w:szCs w:val="16"/>
        </w:rPr>
      </w:pPr>
    </w:p>
    <w:p>
      <w:pPr>
        <w:tabs>
          <w:tab w:val="left" w:pos="5515"/>
        </w:tabs>
        <w:spacing w:before="34"/>
        <w:ind w:left="212"/>
        <w:jc w:val="left"/>
        <w:rPr>
          <w:rFonts w:hint="eastAsia" w:ascii="仿宋" w:hAnsi="仿宋" w:eastAsia="仿宋" w:cs="仿宋"/>
          <w:szCs w:val="21"/>
        </w:rPr>
      </w:pPr>
      <w:r>
        <w:rPr>
          <w:rFonts w:hint="eastAsia" w:ascii="仿宋" w:hAnsi="仿宋" w:eastAsia="仿宋" w:cs="仿宋"/>
          <w:szCs w:val="21"/>
        </w:rPr>
        <w:t>供应商名称（盖章）：</w:t>
      </w:r>
      <w:r>
        <w:rPr>
          <w:rFonts w:hint="eastAsia" w:ascii="仿宋" w:hAnsi="仿宋" w:eastAsia="仿宋" w:cs="仿宋"/>
          <w:szCs w:val="21"/>
          <w:u w:val="single" w:color="000000"/>
        </w:rPr>
        <w:t xml:space="preserve"> </w:t>
      </w:r>
      <w:r>
        <w:rPr>
          <w:rFonts w:hint="eastAsia" w:ascii="仿宋" w:hAnsi="仿宋" w:eastAsia="仿宋" w:cs="仿宋"/>
          <w:szCs w:val="21"/>
          <w:u w:val="single" w:color="000000"/>
        </w:rPr>
        <w:tab/>
      </w:r>
    </w:p>
    <w:p>
      <w:pPr>
        <w:spacing w:before="6"/>
        <w:rPr>
          <w:rFonts w:hint="eastAsia" w:ascii="仿宋" w:hAnsi="仿宋" w:eastAsia="仿宋" w:cs="仿宋"/>
          <w:sz w:val="16"/>
          <w:szCs w:val="16"/>
        </w:rPr>
      </w:pPr>
    </w:p>
    <w:p>
      <w:pPr>
        <w:tabs>
          <w:tab w:val="left" w:pos="1369"/>
          <w:tab w:val="left" w:pos="2103"/>
          <w:tab w:val="left" w:pos="2732"/>
        </w:tabs>
        <w:spacing w:before="34"/>
        <w:ind w:left="212"/>
        <w:jc w:val="left"/>
        <w:rPr>
          <w:rFonts w:hint="eastAsia" w:ascii="仿宋" w:hAnsi="仿宋" w:eastAsia="仿宋" w:cs="仿宋"/>
          <w:szCs w:val="21"/>
        </w:rPr>
        <w:sectPr>
          <w:pgSz w:w="11910" w:h="16840"/>
          <w:pgMar w:top="1580" w:right="900" w:bottom="280" w:left="920" w:header="720" w:footer="720" w:gutter="0"/>
          <w:cols w:space="720" w:num="1"/>
        </w:sectPr>
      </w:pPr>
      <w:r>
        <w:rPr>
          <w:rFonts w:hint="eastAsia" w:ascii="仿宋" w:hAnsi="仿宋" w:eastAsia="仿宋" w:cs="仿宋"/>
          <w:spacing w:val="1"/>
          <w:w w:val="95"/>
          <w:szCs w:val="21"/>
        </w:rPr>
        <w:t>日期：</w:t>
      </w:r>
      <w:r>
        <w:rPr>
          <w:rFonts w:hint="eastAsia" w:ascii="仿宋" w:hAnsi="仿宋" w:eastAsia="仿宋" w:cs="仿宋"/>
          <w:spacing w:val="1"/>
          <w:w w:val="95"/>
          <w:szCs w:val="21"/>
          <w:u w:val="single" w:color="000000"/>
        </w:rPr>
        <w:tab/>
      </w:r>
      <w:r>
        <w:rPr>
          <w:rFonts w:hint="eastAsia" w:ascii="仿宋" w:hAnsi="仿宋" w:eastAsia="仿宋" w:cs="仿宋"/>
          <w:spacing w:val="-1"/>
          <w:w w:val="95"/>
          <w:szCs w:val="21"/>
        </w:rPr>
        <w:t>年</w:t>
      </w:r>
      <w:r>
        <w:rPr>
          <w:rFonts w:hint="eastAsia" w:ascii="仿宋" w:hAnsi="仿宋" w:eastAsia="仿宋" w:cs="仿宋"/>
          <w:spacing w:val="-1"/>
          <w:w w:val="95"/>
          <w:szCs w:val="21"/>
          <w:u w:val="single" w:color="000000"/>
        </w:rPr>
        <w:tab/>
      </w:r>
      <w:r>
        <w:rPr>
          <w:rFonts w:hint="eastAsia" w:ascii="仿宋" w:hAnsi="仿宋" w:eastAsia="仿宋" w:cs="仿宋"/>
          <w:spacing w:val="-1"/>
          <w:w w:val="95"/>
          <w:szCs w:val="21"/>
        </w:rPr>
        <w:t>月</w:t>
      </w:r>
      <w:r>
        <w:rPr>
          <w:rFonts w:hint="eastAsia" w:ascii="仿宋" w:hAnsi="仿宋" w:eastAsia="仿宋" w:cs="仿宋"/>
          <w:spacing w:val="-1"/>
          <w:w w:val="95"/>
          <w:szCs w:val="21"/>
          <w:u w:val="single" w:color="000000"/>
        </w:rPr>
        <w:tab/>
      </w:r>
      <w:r>
        <w:rPr>
          <w:rFonts w:hint="eastAsia" w:ascii="仿宋" w:hAnsi="仿宋" w:eastAsia="仿宋" w:cs="仿宋"/>
          <w:szCs w:val="21"/>
        </w:rPr>
        <w:t>日</w:t>
      </w:r>
    </w:p>
    <w:p>
      <w:pPr>
        <w:shd w:val="clear" w:color="auto" w:fill="FFFFFF"/>
        <w:snapToGrid w:val="0"/>
        <w:spacing w:line="400" w:lineRule="exact"/>
        <w:ind w:left="851" w:hanging="851"/>
        <w:rPr>
          <w:rFonts w:ascii="宋体"/>
          <w:sz w:val="24"/>
          <w:highlight w:val="none"/>
        </w:rPr>
      </w:pPr>
      <w:r>
        <w:rPr>
          <w:rFonts w:hint="eastAsia" w:ascii="宋体"/>
          <w:sz w:val="24"/>
          <w:highlight w:val="none"/>
        </w:rPr>
        <w:t> </w:t>
      </w:r>
    </w:p>
    <w:p>
      <w:pPr>
        <w:rPr>
          <w:rFonts w:hint="eastAsia" w:ascii="宋体" w:hAnsi="宋体" w:eastAsia="宋体"/>
          <w:sz w:val="24"/>
          <w:szCs w:val="24"/>
          <w:highlight w:val="none"/>
        </w:rPr>
      </w:pPr>
      <w:bookmarkStart w:id="183" w:name="_Toc32013_WPSOffice_Level3"/>
      <w:bookmarkStart w:id="184" w:name="_Toc60996693"/>
      <w:bookmarkStart w:id="185" w:name="_Toc2384"/>
    </w:p>
    <w:p>
      <w:pPr>
        <w:pStyle w:val="45"/>
        <w:rPr>
          <w:rFonts w:hint="eastAsia" w:ascii="宋体" w:hAnsi="宋体" w:eastAsia="宋体"/>
          <w:sz w:val="24"/>
          <w:szCs w:val="24"/>
          <w:highlight w:val="none"/>
        </w:rPr>
      </w:pPr>
    </w:p>
    <w:p>
      <w:pPr>
        <w:pStyle w:val="45"/>
        <w:rPr>
          <w:rFonts w:hint="eastAsia" w:ascii="宋体" w:hAnsi="宋体" w:eastAsia="宋体"/>
          <w:sz w:val="24"/>
          <w:szCs w:val="24"/>
          <w:highlight w:val="none"/>
        </w:rPr>
      </w:pPr>
    </w:p>
    <w:p>
      <w:pPr>
        <w:pStyle w:val="4"/>
        <w:spacing w:before="0" w:line="240" w:lineRule="atLeast"/>
        <w:ind w:left="0" w:firstLine="0"/>
        <w:rPr>
          <w:rFonts w:ascii="宋体" w:hAnsi="宋体" w:eastAsia="宋体"/>
          <w:sz w:val="24"/>
          <w:szCs w:val="24"/>
          <w:highlight w:val="none"/>
        </w:rPr>
      </w:pPr>
      <w:bookmarkStart w:id="186" w:name="_Toc28261"/>
      <w:r>
        <w:rPr>
          <w:rFonts w:hint="eastAsia" w:ascii="宋体" w:hAnsi="宋体" w:eastAsia="宋体"/>
          <w:sz w:val="24"/>
          <w:szCs w:val="24"/>
          <w:highlight w:val="none"/>
        </w:rPr>
        <w:t>格式</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：投标人资格证明文件</w:t>
      </w:r>
      <w:bookmarkEnd w:id="183"/>
      <w:bookmarkEnd w:id="184"/>
      <w:bookmarkEnd w:id="185"/>
      <w:bookmarkEnd w:id="186"/>
      <w:bookmarkStart w:id="187" w:name="_Toc19385_WPSOffice_Level3"/>
    </w:p>
    <w:p>
      <w:pPr>
        <w:pStyle w:val="5"/>
        <w:spacing w:before="0"/>
        <w:ind w:left="210" w:leftChars="100" w:firstLine="0"/>
        <w:rPr>
          <w:rFonts w:asciiTheme="minorEastAsia" w:hAnsiTheme="minorEastAsia" w:eastAsiaTheme="minorEastAsia"/>
          <w:sz w:val="24"/>
          <w:szCs w:val="24"/>
          <w:highlight w:val="none"/>
        </w:rPr>
      </w:pPr>
      <w:bookmarkStart w:id="188" w:name="_Toc4619"/>
      <w:r>
        <w:rPr>
          <w:rFonts w:hint="eastAsia" w:asciiTheme="minorEastAsia" w:hAnsiTheme="minorEastAsia" w:eastAsiaTheme="minorEastAsia"/>
          <w:sz w:val="24"/>
          <w:szCs w:val="24"/>
          <w:highlight w:val="none"/>
        </w:rPr>
        <w:t>格式</w:t>
      </w:r>
      <w:r>
        <w:rPr>
          <w:rFonts w:hint="eastAsia" w:asciiTheme="minorEastAsia" w:hAnsiTheme="minorEastAsia" w:eastAsiaTheme="minorEastAsia"/>
          <w:sz w:val="24"/>
          <w:szCs w:val="24"/>
          <w:highlight w:val="none"/>
          <w:lang w:val="en-US" w:eastAsia="zh-CN"/>
        </w:rPr>
        <w:t>3</w:t>
      </w:r>
      <w:r>
        <w:rPr>
          <w:rFonts w:hint="eastAsia" w:asciiTheme="minorEastAsia" w:hAnsiTheme="minorEastAsia" w:eastAsiaTheme="minorEastAsia"/>
          <w:sz w:val="24"/>
          <w:szCs w:val="24"/>
          <w:highlight w:val="none"/>
        </w:rPr>
        <w:t>-1：营业执照及其他资质证书</w:t>
      </w:r>
      <w:bookmarkEnd w:id="187"/>
      <w:bookmarkEnd w:id="188"/>
    </w:p>
    <w:p>
      <w:pPr>
        <w:spacing w:line="360" w:lineRule="auto"/>
        <w:jc w:val="center"/>
        <w:rPr>
          <w:rFonts w:ascii="宋体"/>
          <w:b/>
          <w:bCs/>
          <w:sz w:val="28"/>
          <w:szCs w:val="28"/>
          <w:highlight w:val="none"/>
        </w:rPr>
      </w:pPr>
      <w:r>
        <w:rPr>
          <w:rFonts w:hint="eastAsia" w:ascii="宋体"/>
          <w:b/>
          <w:bCs/>
          <w:sz w:val="28"/>
          <w:szCs w:val="28"/>
          <w:highlight w:val="none"/>
        </w:rPr>
        <w:t>（一）营业执照</w:t>
      </w:r>
    </w:p>
    <w:p>
      <w:pPr>
        <w:spacing w:line="360" w:lineRule="auto"/>
        <w:jc w:val="center"/>
        <w:rPr>
          <w:rFonts w:ascii="宋体"/>
          <w:sz w:val="24"/>
          <w:highlight w:val="none"/>
        </w:rPr>
      </w:pPr>
    </w:p>
    <w:p>
      <w:pPr>
        <w:spacing w:line="360" w:lineRule="auto"/>
        <w:ind w:firstLine="990" w:firstLineChars="450"/>
        <w:rPr>
          <w:rFonts w:ascii="宋体" w:hAnsi="宋体"/>
          <w:sz w:val="24"/>
          <w:highlight w:val="none"/>
        </w:rPr>
      </w:pPr>
      <w:r>
        <w:rPr>
          <w:rFonts w:hint="eastAsia" w:ascii="宋体"/>
          <w:sz w:val="22"/>
          <w:highlight w:val="none"/>
        </w:rPr>
        <w:t>供应商</w:t>
      </w:r>
      <w:r>
        <w:rPr>
          <w:rFonts w:hint="eastAsia" w:ascii="宋体" w:hAnsi="宋体"/>
          <w:sz w:val="24"/>
          <w:highlight w:val="none"/>
        </w:rPr>
        <w:t>有效的营业执照副本内页：要求清晰反映企业法人经营范围。</w:t>
      </w:r>
    </w:p>
    <w:p>
      <w:pPr>
        <w:pStyle w:val="17"/>
        <w:spacing w:line="360" w:lineRule="auto"/>
        <w:ind w:left="420"/>
        <w:jc w:val="center"/>
        <w:rPr>
          <w:sz w:val="24"/>
          <w:szCs w:val="24"/>
          <w:highlight w:val="none"/>
        </w:rPr>
      </w:pPr>
    </w:p>
    <w:p>
      <w:pPr>
        <w:pStyle w:val="17"/>
        <w:spacing w:line="360" w:lineRule="auto"/>
        <w:ind w:left="420"/>
        <w:jc w:val="center"/>
        <w:rPr>
          <w:sz w:val="24"/>
          <w:szCs w:val="24"/>
          <w:highlight w:val="none"/>
        </w:rPr>
      </w:pPr>
    </w:p>
    <w:p>
      <w:pPr>
        <w:pStyle w:val="17"/>
        <w:spacing w:line="360" w:lineRule="auto"/>
        <w:ind w:left="420"/>
        <w:jc w:val="center"/>
        <w:rPr>
          <w:sz w:val="24"/>
          <w:szCs w:val="24"/>
          <w:highlight w:val="none"/>
        </w:rPr>
      </w:pPr>
    </w:p>
    <w:p>
      <w:pPr>
        <w:pStyle w:val="17"/>
        <w:spacing w:line="360" w:lineRule="auto"/>
        <w:ind w:left="420"/>
        <w:jc w:val="center"/>
        <w:rPr>
          <w:sz w:val="24"/>
          <w:szCs w:val="24"/>
          <w:highlight w:val="none"/>
        </w:rPr>
      </w:pPr>
    </w:p>
    <w:p>
      <w:pPr>
        <w:spacing w:line="360" w:lineRule="auto"/>
        <w:jc w:val="center"/>
        <w:rPr>
          <w:rFonts w:ascii="宋体"/>
          <w:b/>
          <w:bCs/>
          <w:sz w:val="28"/>
          <w:szCs w:val="28"/>
          <w:highlight w:val="none"/>
        </w:rPr>
      </w:pPr>
      <w:r>
        <w:rPr>
          <w:rFonts w:hint="eastAsia" w:ascii="宋体"/>
          <w:b/>
          <w:bCs/>
          <w:sz w:val="28"/>
          <w:szCs w:val="28"/>
          <w:highlight w:val="none"/>
        </w:rPr>
        <w:t>（二）本项目所要求的资格、资质证书</w:t>
      </w:r>
    </w:p>
    <w:p>
      <w:pPr>
        <w:pStyle w:val="17"/>
        <w:spacing w:line="360" w:lineRule="auto"/>
        <w:ind w:left="420"/>
        <w:jc w:val="center"/>
        <w:rPr>
          <w:highlight w:val="none"/>
        </w:rPr>
      </w:pPr>
      <w:bookmarkStart w:id="189" w:name="_Toc21387_WPSOffice_Level3"/>
      <w:r>
        <w:rPr>
          <w:rFonts w:hint="eastAsia"/>
          <w:highlight w:val="none"/>
        </w:rPr>
        <w:t>（如有）</w:t>
      </w:r>
      <w:bookmarkEnd w:id="189"/>
    </w:p>
    <w:p>
      <w:pPr>
        <w:pStyle w:val="5"/>
        <w:rPr>
          <w:rFonts w:ascii="宋体" w:hAnsi="宋体"/>
          <w:sz w:val="24"/>
          <w:szCs w:val="24"/>
          <w:highlight w:val="none"/>
        </w:rPr>
      </w:pPr>
      <w:bookmarkStart w:id="190" w:name="_Toc2435_WPSOffice_Level3"/>
    </w:p>
    <w:p>
      <w:pPr>
        <w:pStyle w:val="5"/>
        <w:rPr>
          <w:rFonts w:ascii="宋体" w:hAnsi="宋体"/>
          <w:sz w:val="24"/>
          <w:szCs w:val="24"/>
          <w:highlight w:val="none"/>
        </w:rPr>
      </w:pPr>
    </w:p>
    <w:p>
      <w:pPr>
        <w:pStyle w:val="5"/>
        <w:rPr>
          <w:rFonts w:ascii="宋体" w:hAnsi="宋体"/>
          <w:sz w:val="24"/>
          <w:szCs w:val="24"/>
          <w:highlight w:val="none"/>
        </w:rPr>
      </w:pPr>
    </w:p>
    <w:p>
      <w:pPr>
        <w:pStyle w:val="5"/>
        <w:rPr>
          <w:rFonts w:ascii="宋体" w:hAnsi="宋体"/>
          <w:sz w:val="24"/>
          <w:szCs w:val="24"/>
          <w:highlight w:val="none"/>
        </w:rPr>
      </w:pPr>
    </w:p>
    <w:p>
      <w:pPr>
        <w:pStyle w:val="5"/>
        <w:rPr>
          <w:rFonts w:ascii="宋体" w:hAnsi="宋体"/>
          <w:sz w:val="24"/>
          <w:szCs w:val="24"/>
          <w:highlight w:val="none"/>
        </w:rPr>
      </w:pPr>
    </w:p>
    <w:p>
      <w:pPr>
        <w:pStyle w:val="5"/>
        <w:rPr>
          <w:rFonts w:ascii="宋体" w:hAnsi="宋体"/>
          <w:sz w:val="24"/>
          <w:szCs w:val="24"/>
          <w:highlight w:val="none"/>
        </w:rPr>
      </w:pPr>
    </w:p>
    <w:p>
      <w:pPr>
        <w:pStyle w:val="5"/>
        <w:rPr>
          <w:rFonts w:ascii="宋体" w:hAnsi="宋体"/>
          <w:sz w:val="24"/>
          <w:szCs w:val="24"/>
          <w:highlight w:val="none"/>
        </w:rPr>
      </w:pPr>
    </w:p>
    <w:p>
      <w:pPr>
        <w:pStyle w:val="5"/>
        <w:rPr>
          <w:rFonts w:ascii="宋体" w:hAnsi="宋体"/>
          <w:sz w:val="24"/>
          <w:szCs w:val="24"/>
          <w:highlight w:val="none"/>
        </w:rPr>
      </w:pPr>
    </w:p>
    <w:p>
      <w:pPr>
        <w:pStyle w:val="5"/>
        <w:rPr>
          <w:rFonts w:ascii="宋体" w:hAnsi="宋体"/>
          <w:sz w:val="24"/>
          <w:szCs w:val="24"/>
          <w:highlight w:val="none"/>
        </w:rPr>
      </w:pPr>
    </w:p>
    <w:p>
      <w:pPr>
        <w:pStyle w:val="5"/>
        <w:rPr>
          <w:rFonts w:ascii="宋体" w:hAnsi="宋体"/>
          <w:sz w:val="24"/>
          <w:szCs w:val="24"/>
          <w:highlight w:val="none"/>
        </w:rPr>
      </w:pPr>
    </w:p>
    <w:p>
      <w:pPr>
        <w:pStyle w:val="5"/>
        <w:rPr>
          <w:rFonts w:ascii="宋体" w:hAnsi="宋体"/>
          <w:sz w:val="24"/>
          <w:szCs w:val="24"/>
          <w:highlight w:val="none"/>
        </w:rPr>
      </w:pPr>
    </w:p>
    <w:p>
      <w:pPr>
        <w:pStyle w:val="5"/>
        <w:rPr>
          <w:rFonts w:ascii="宋体" w:hAnsi="宋体"/>
          <w:sz w:val="24"/>
          <w:szCs w:val="24"/>
          <w:highlight w:val="none"/>
        </w:rPr>
      </w:pPr>
    </w:p>
    <w:p>
      <w:pPr>
        <w:pStyle w:val="5"/>
        <w:rPr>
          <w:rFonts w:ascii="宋体" w:hAnsi="宋体"/>
          <w:sz w:val="24"/>
          <w:szCs w:val="24"/>
          <w:highlight w:val="none"/>
        </w:rPr>
      </w:pPr>
    </w:p>
    <w:p>
      <w:pPr>
        <w:pStyle w:val="5"/>
        <w:rPr>
          <w:rFonts w:ascii="宋体" w:hAnsi="宋体"/>
          <w:sz w:val="24"/>
          <w:szCs w:val="24"/>
          <w:highlight w:val="none"/>
        </w:rPr>
      </w:pPr>
    </w:p>
    <w:p>
      <w:pPr>
        <w:pStyle w:val="5"/>
        <w:spacing w:before="0"/>
        <w:ind w:left="210" w:leftChars="100" w:firstLine="0"/>
        <w:rPr>
          <w:rFonts w:hint="eastAsia" w:asciiTheme="minorEastAsia" w:hAnsiTheme="minorEastAsia" w:eastAsiaTheme="minorEastAsia"/>
          <w:sz w:val="24"/>
          <w:szCs w:val="24"/>
          <w:highlight w:val="none"/>
        </w:rPr>
      </w:pPr>
    </w:p>
    <w:p>
      <w:pPr>
        <w:pStyle w:val="5"/>
        <w:spacing w:before="0"/>
        <w:ind w:left="210" w:leftChars="100" w:firstLine="0"/>
        <w:rPr>
          <w:rFonts w:asciiTheme="minorEastAsia" w:hAnsiTheme="minorEastAsia" w:eastAsiaTheme="minorEastAsia"/>
          <w:sz w:val="24"/>
          <w:szCs w:val="24"/>
          <w:highlight w:val="none"/>
        </w:rPr>
      </w:pPr>
      <w:bookmarkStart w:id="191" w:name="_Toc5193"/>
      <w:r>
        <w:rPr>
          <w:rFonts w:hint="eastAsia" w:asciiTheme="minorEastAsia" w:hAnsiTheme="minorEastAsia" w:eastAsiaTheme="minorEastAsia"/>
          <w:sz w:val="24"/>
          <w:szCs w:val="24"/>
          <w:highlight w:val="none"/>
        </w:rPr>
        <w:t>格式</w:t>
      </w:r>
      <w:r>
        <w:rPr>
          <w:rFonts w:hint="eastAsia" w:asciiTheme="minorEastAsia" w:hAnsiTheme="minorEastAsia" w:eastAsiaTheme="minorEastAsia"/>
          <w:sz w:val="24"/>
          <w:szCs w:val="24"/>
          <w:highlight w:val="none"/>
          <w:lang w:val="en-US" w:eastAsia="zh-CN"/>
        </w:rPr>
        <w:t>3</w:t>
      </w:r>
      <w:r>
        <w:rPr>
          <w:rFonts w:asciiTheme="minorEastAsia" w:hAnsiTheme="minorEastAsia" w:eastAsiaTheme="minorEastAsia"/>
          <w:sz w:val="24"/>
          <w:szCs w:val="24"/>
          <w:highlight w:val="none"/>
        </w:rPr>
        <w:t>-2</w:t>
      </w:r>
      <w:r>
        <w:rPr>
          <w:rFonts w:hint="eastAsia" w:asciiTheme="minorEastAsia" w:hAnsiTheme="minorEastAsia" w:eastAsiaTheme="minorEastAsia"/>
          <w:sz w:val="24"/>
          <w:szCs w:val="24"/>
          <w:highlight w:val="none"/>
        </w:rPr>
        <w:t>：法定代表人资格证明书</w:t>
      </w:r>
      <w:bookmarkEnd w:id="190"/>
      <w:bookmarkEnd w:id="191"/>
    </w:p>
    <w:p>
      <w:pPr>
        <w:spacing w:line="360" w:lineRule="auto"/>
        <w:jc w:val="center"/>
        <w:rPr>
          <w:rFonts w:ascii="宋体"/>
          <w:b/>
          <w:bCs/>
          <w:sz w:val="28"/>
          <w:szCs w:val="28"/>
          <w:highlight w:val="none"/>
        </w:rPr>
      </w:pPr>
      <w:r>
        <w:rPr>
          <w:rFonts w:hint="eastAsia" w:ascii="宋体"/>
          <w:b/>
          <w:bCs/>
          <w:sz w:val="28"/>
          <w:szCs w:val="28"/>
          <w:highlight w:val="none"/>
        </w:rPr>
        <w:t>法定代表人资格证明书</w:t>
      </w:r>
    </w:p>
    <w:p>
      <w:pPr>
        <w:spacing w:line="360" w:lineRule="auto"/>
        <w:jc w:val="center"/>
        <w:rPr>
          <w:rFonts w:ascii="宋体"/>
          <w:b/>
          <w:sz w:val="30"/>
          <w:szCs w:val="30"/>
          <w:highlight w:val="none"/>
        </w:rPr>
      </w:pPr>
    </w:p>
    <w:p>
      <w:pPr>
        <w:spacing w:line="360" w:lineRule="auto"/>
        <w:rPr>
          <w:rFonts w:ascii="宋体"/>
          <w:szCs w:val="21"/>
          <w:highlight w:val="none"/>
          <w:u w:val="single"/>
        </w:rPr>
      </w:pPr>
      <w:r>
        <w:rPr>
          <w:rFonts w:hint="eastAsia" w:ascii="宋体"/>
          <w:szCs w:val="21"/>
          <w:highlight w:val="none"/>
        </w:rPr>
        <w:t>供应商全称：</w:t>
      </w:r>
    </w:p>
    <w:p>
      <w:pPr>
        <w:spacing w:line="360" w:lineRule="auto"/>
        <w:rPr>
          <w:rFonts w:ascii="宋体"/>
          <w:szCs w:val="21"/>
          <w:highlight w:val="none"/>
          <w:u w:val="single"/>
        </w:rPr>
      </w:pPr>
      <w:r>
        <w:rPr>
          <w:rFonts w:hint="eastAsia" w:ascii="宋体"/>
          <w:szCs w:val="21"/>
          <w:highlight w:val="none"/>
        </w:rPr>
        <w:t>单位性质：</w:t>
      </w:r>
    </w:p>
    <w:p>
      <w:pPr>
        <w:spacing w:line="360" w:lineRule="auto"/>
        <w:rPr>
          <w:rFonts w:ascii="宋体"/>
          <w:szCs w:val="21"/>
          <w:highlight w:val="none"/>
        </w:rPr>
      </w:pPr>
      <w:r>
        <w:rPr>
          <w:rFonts w:hint="eastAsia" w:ascii="宋体"/>
          <w:szCs w:val="21"/>
          <w:highlight w:val="none"/>
        </w:rPr>
        <w:t>成立时间：年月日</w:t>
      </w:r>
    </w:p>
    <w:p>
      <w:pPr>
        <w:spacing w:line="360" w:lineRule="auto"/>
        <w:rPr>
          <w:rFonts w:ascii="宋体"/>
          <w:szCs w:val="21"/>
          <w:highlight w:val="none"/>
          <w:u w:val="single"/>
        </w:rPr>
      </w:pPr>
      <w:r>
        <w:rPr>
          <w:rFonts w:hint="eastAsia" w:ascii="宋体"/>
          <w:szCs w:val="21"/>
          <w:highlight w:val="none"/>
        </w:rPr>
        <w:t>经营期限：</w:t>
      </w:r>
    </w:p>
    <w:p>
      <w:pPr>
        <w:spacing w:line="360" w:lineRule="auto"/>
        <w:rPr>
          <w:rFonts w:ascii="宋体"/>
          <w:szCs w:val="21"/>
          <w:highlight w:val="none"/>
          <w:u w:val="single"/>
        </w:rPr>
      </w:pPr>
      <w:r>
        <w:rPr>
          <w:rFonts w:hint="eastAsia" w:ascii="宋体"/>
          <w:szCs w:val="21"/>
          <w:highlight w:val="none"/>
        </w:rPr>
        <w:t>姓名：性别：年龄：职务：</w:t>
      </w:r>
    </w:p>
    <w:p>
      <w:pPr>
        <w:spacing w:line="360" w:lineRule="auto"/>
        <w:rPr>
          <w:rFonts w:ascii="宋体"/>
          <w:szCs w:val="21"/>
          <w:highlight w:val="none"/>
        </w:rPr>
      </w:pPr>
      <w:r>
        <w:rPr>
          <w:rFonts w:hint="eastAsia" w:ascii="宋体"/>
          <w:szCs w:val="21"/>
          <w:highlight w:val="none"/>
        </w:rPr>
        <w:t>系</w:t>
      </w:r>
      <w:r>
        <w:rPr>
          <w:rFonts w:hint="eastAsia" w:ascii="宋体"/>
          <w:szCs w:val="21"/>
          <w:highlight w:val="none"/>
          <w:u w:val="single"/>
        </w:rPr>
        <w:t>（供应商全称）</w:t>
      </w:r>
      <w:r>
        <w:rPr>
          <w:rFonts w:hint="eastAsia" w:ascii="宋体"/>
          <w:szCs w:val="21"/>
          <w:highlight w:val="none"/>
        </w:rPr>
        <w:t>的法定代表人。</w:t>
      </w:r>
    </w:p>
    <w:p>
      <w:pPr>
        <w:spacing w:line="360" w:lineRule="auto"/>
        <w:ind w:firstLine="420" w:firstLineChars="200"/>
        <w:rPr>
          <w:rFonts w:ascii="宋体"/>
          <w:szCs w:val="21"/>
          <w:highlight w:val="none"/>
        </w:rPr>
      </w:pPr>
    </w:p>
    <w:p>
      <w:pPr>
        <w:spacing w:line="360" w:lineRule="auto"/>
        <w:ind w:firstLine="420" w:firstLineChars="200"/>
        <w:rPr>
          <w:rFonts w:ascii="宋体"/>
          <w:szCs w:val="21"/>
          <w:highlight w:val="none"/>
        </w:rPr>
      </w:pPr>
      <w:r>
        <w:rPr>
          <w:rFonts w:hint="eastAsia" w:ascii="宋体"/>
          <w:szCs w:val="21"/>
          <w:highlight w:val="none"/>
        </w:rPr>
        <w:t>特此证明。</w:t>
      </w:r>
    </w:p>
    <w:tbl>
      <w:tblPr>
        <w:tblStyle w:val="37"/>
        <w:tblW w:w="8528" w:type="dxa"/>
        <w:tblInd w:w="0" w:type="dxa"/>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2526" w:hRule="atLeast"/>
        </w:trPr>
        <w:tc>
          <w:tcPr>
            <w:tcW w:w="8528" w:type="dxa"/>
            <w:noWrap/>
            <w:vAlign w:val="center"/>
          </w:tcPr>
          <w:p>
            <w:pPr>
              <w:adjustRightInd w:val="0"/>
              <w:snapToGrid w:val="0"/>
              <w:spacing w:beforeLines="50" w:line="360" w:lineRule="auto"/>
              <w:jc w:val="center"/>
              <w:rPr>
                <w:rFonts w:ascii="宋体" w:hAnsi="宋体"/>
                <w:szCs w:val="21"/>
                <w:highlight w:val="none"/>
              </w:rPr>
            </w:pPr>
            <w:r>
              <w:rPr>
                <w:rFonts w:hint="eastAsia" w:ascii="宋体" w:hAnsi="宋体"/>
                <w:szCs w:val="21"/>
                <w:highlight w:val="none"/>
              </w:rPr>
              <w:t>法定代表人身份证复印件</w:t>
            </w:r>
          </w:p>
        </w:tc>
      </w:tr>
    </w:tbl>
    <w:p>
      <w:pPr>
        <w:spacing w:line="360" w:lineRule="auto"/>
        <w:rPr>
          <w:rFonts w:ascii="宋体"/>
          <w:szCs w:val="21"/>
          <w:highlight w:val="none"/>
        </w:rPr>
      </w:pPr>
      <w:r>
        <w:rPr>
          <w:rFonts w:hint="eastAsia" w:ascii="宋体"/>
          <w:szCs w:val="21"/>
          <w:highlight w:val="none"/>
        </w:rPr>
        <w:t>法定代表人身份证复印件（正、反面）</w:t>
      </w:r>
    </w:p>
    <w:p>
      <w:pPr>
        <w:spacing w:line="360" w:lineRule="auto"/>
        <w:rPr>
          <w:rFonts w:ascii="宋体"/>
          <w:szCs w:val="21"/>
          <w:highlight w:val="none"/>
        </w:rPr>
      </w:pPr>
    </w:p>
    <w:p>
      <w:pPr>
        <w:spacing w:line="360" w:lineRule="auto"/>
        <w:ind w:left="3780" w:leftChars="1800"/>
        <w:rPr>
          <w:rFonts w:ascii="宋体"/>
          <w:szCs w:val="21"/>
          <w:highlight w:val="none"/>
        </w:rPr>
      </w:pPr>
      <w:r>
        <w:rPr>
          <w:rFonts w:hint="eastAsia" w:ascii="宋体"/>
          <w:szCs w:val="21"/>
          <w:highlight w:val="none"/>
        </w:rPr>
        <w:t>供应商：（盖单位公章）</w:t>
      </w:r>
    </w:p>
    <w:p>
      <w:pPr>
        <w:spacing w:line="360" w:lineRule="auto"/>
        <w:ind w:left="3780" w:leftChars="1800"/>
        <w:rPr>
          <w:rFonts w:ascii="宋体"/>
          <w:szCs w:val="21"/>
          <w:highlight w:val="none"/>
        </w:rPr>
      </w:pPr>
    </w:p>
    <w:p>
      <w:pPr>
        <w:spacing w:line="360" w:lineRule="auto"/>
        <w:ind w:left="3780" w:leftChars="1800" w:firstLine="1155" w:firstLineChars="550"/>
        <w:rPr>
          <w:rFonts w:ascii="宋体"/>
          <w:szCs w:val="21"/>
          <w:highlight w:val="none"/>
        </w:rPr>
      </w:pPr>
      <w:r>
        <w:rPr>
          <w:rFonts w:hint="eastAsia" w:ascii="宋体"/>
          <w:szCs w:val="21"/>
          <w:highlight w:val="none"/>
        </w:rPr>
        <w:t>年</w:t>
      </w:r>
      <w:r>
        <w:rPr>
          <w:rFonts w:hint="eastAsia" w:ascii="宋体"/>
          <w:szCs w:val="21"/>
          <w:highlight w:val="none"/>
          <w:lang w:val="en-US" w:eastAsia="zh-CN"/>
        </w:rPr>
        <w:t xml:space="preserve">      </w:t>
      </w:r>
      <w:r>
        <w:rPr>
          <w:rFonts w:hint="eastAsia" w:ascii="宋体"/>
          <w:szCs w:val="21"/>
          <w:highlight w:val="none"/>
        </w:rPr>
        <w:t>月</w:t>
      </w:r>
      <w:r>
        <w:rPr>
          <w:rFonts w:hint="eastAsia" w:ascii="宋体"/>
          <w:szCs w:val="21"/>
          <w:highlight w:val="none"/>
          <w:lang w:val="en-US" w:eastAsia="zh-CN"/>
        </w:rPr>
        <w:t xml:space="preserve">     </w:t>
      </w:r>
      <w:r>
        <w:rPr>
          <w:rFonts w:hint="eastAsia" w:ascii="宋体"/>
          <w:szCs w:val="21"/>
          <w:highlight w:val="none"/>
        </w:rPr>
        <w:t>日</w:t>
      </w:r>
    </w:p>
    <w:p>
      <w:pPr>
        <w:spacing w:line="360" w:lineRule="auto"/>
        <w:rPr>
          <w:rFonts w:ascii="宋体"/>
          <w:szCs w:val="21"/>
          <w:highlight w:val="none"/>
        </w:rPr>
      </w:pPr>
    </w:p>
    <w:p>
      <w:pPr>
        <w:spacing w:line="360" w:lineRule="auto"/>
        <w:rPr>
          <w:rFonts w:ascii="宋体"/>
          <w:szCs w:val="21"/>
          <w:highlight w:val="none"/>
        </w:rPr>
      </w:pPr>
    </w:p>
    <w:p>
      <w:pPr>
        <w:spacing w:line="360" w:lineRule="auto"/>
        <w:rPr>
          <w:rFonts w:ascii="宋体"/>
          <w:szCs w:val="21"/>
          <w:highlight w:val="none"/>
        </w:rPr>
      </w:pPr>
    </w:p>
    <w:p>
      <w:pPr>
        <w:spacing w:line="360" w:lineRule="auto"/>
        <w:rPr>
          <w:rFonts w:ascii="宋体"/>
          <w:szCs w:val="21"/>
          <w:highlight w:val="none"/>
        </w:rPr>
      </w:pPr>
    </w:p>
    <w:p>
      <w:pPr>
        <w:spacing w:line="360" w:lineRule="auto"/>
        <w:rPr>
          <w:rFonts w:ascii="宋体"/>
          <w:szCs w:val="21"/>
          <w:highlight w:val="none"/>
        </w:rPr>
      </w:pPr>
    </w:p>
    <w:p>
      <w:pPr>
        <w:spacing w:line="360" w:lineRule="auto"/>
        <w:rPr>
          <w:rFonts w:ascii="宋体"/>
          <w:szCs w:val="21"/>
          <w:highlight w:val="none"/>
        </w:rPr>
      </w:pPr>
    </w:p>
    <w:p>
      <w:pPr>
        <w:pStyle w:val="5"/>
        <w:spacing w:before="0"/>
        <w:ind w:left="210" w:leftChars="100" w:firstLine="0"/>
        <w:rPr>
          <w:rFonts w:asciiTheme="minorEastAsia" w:hAnsiTheme="minorEastAsia" w:eastAsiaTheme="minorEastAsia"/>
          <w:sz w:val="24"/>
          <w:szCs w:val="24"/>
          <w:highlight w:val="none"/>
        </w:rPr>
      </w:pPr>
      <w:r>
        <w:rPr>
          <w:b w:val="0"/>
          <w:szCs w:val="21"/>
          <w:highlight w:val="none"/>
        </w:rPr>
        <w:br w:type="page"/>
      </w:r>
      <w:bookmarkStart w:id="192" w:name="_Toc17533_WPSOffice_Level3"/>
      <w:r>
        <w:rPr>
          <w:rFonts w:hint="eastAsia" w:ascii="宋体" w:hAnsi="宋体"/>
          <w:sz w:val="24"/>
          <w:szCs w:val="24"/>
          <w:highlight w:val="none"/>
        </w:rPr>
        <w:t xml:space="preserve">  </w:t>
      </w:r>
      <w:r>
        <w:rPr>
          <w:rFonts w:hint="eastAsia" w:asciiTheme="minorEastAsia" w:hAnsiTheme="minorEastAsia" w:eastAsiaTheme="minorEastAsia"/>
          <w:sz w:val="24"/>
          <w:szCs w:val="24"/>
          <w:highlight w:val="none"/>
        </w:rPr>
        <w:t xml:space="preserve"> </w:t>
      </w:r>
      <w:bookmarkStart w:id="193" w:name="_Toc25587"/>
      <w:r>
        <w:rPr>
          <w:rFonts w:hint="eastAsia" w:asciiTheme="minorEastAsia" w:hAnsiTheme="minorEastAsia" w:eastAsiaTheme="minorEastAsia"/>
          <w:sz w:val="24"/>
          <w:szCs w:val="24"/>
          <w:highlight w:val="none"/>
        </w:rPr>
        <w:t>格式</w:t>
      </w:r>
      <w:r>
        <w:rPr>
          <w:rFonts w:hint="eastAsia" w:asciiTheme="minorEastAsia" w:hAnsiTheme="minorEastAsia" w:eastAsiaTheme="minorEastAsia"/>
          <w:sz w:val="24"/>
          <w:szCs w:val="24"/>
          <w:highlight w:val="none"/>
          <w:lang w:val="en-US" w:eastAsia="zh-CN"/>
        </w:rPr>
        <w:t>3</w:t>
      </w:r>
      <w:r>
        <w:rPr>
          <w:rFonts w:asciiTheme="minorEastAsia" w:hAnsiTheme="minorEastAsia" w:eastAsiaTheme="minorEastAsia"/>
          <w:sz w:val="24"/>
          <w:szCs w:val="24"/>
          <w:highlight w:val="none"/>
        </w:rPr>
        <w:t>-3</w:t>
      </w:r>
      <w:r>
        <w:rPr>
          <w:rFonts w:hint="eastAsia" w:asciiTheme="minorEastAsia" w:hAnsiTheme="minorEastAsia" w:eastAsiaTheme="minorEastAsia"/>
          <w:sz w:val="24"/>
          <w:szCs w:val="24"/>
          <w:highlight w:val="none"/>
        </w:rPr>
        <w:t>：法定代表人授权委托书</w:t>
      </w:r>
      <w:bookmarkEnd w:id="192"/>
      <w:bookmarkEnd w:id="193"/>
    </w:p>
    <w:p>
      <w:pPr>
        <w:spacing w:line="360" w:lineRule="auto"/>
        <w:jc w:val="center"/>
        <w:rPr>
          <w:rFonts w:ascii="宋体"/>
          <w:b/>
          <w:bCs/>
          <w:sz w:val="28"/>
          <w:szCs w:val="28"/>
          <w:highlight w:val="none"/>
        </w:rPr>
      </w:pPr>
      <w:r>
        <w:rPr>
          <w:rFonts w:hint="eastAsia" w:ascii="宋体"/>
          <w:b/>
          <w:bCs/>
          <w:sz w:val="28"/>
          <w:szCs w:val="28"/>
          <w:highlight w:val="none"/>
        </w:rPr>
        <w:t>法定代表人授权委托书</w:t>
      </w:r>
    </w:p>
    <w:p>
      <w:pPr>
        <w:autoSpaceDE w:val="0"/>
        <w:autoSpaceDN w:val="0"/>
        <w:adjustRightInd w:val="0"/>
        <w:snapToGrid w:val="0"/>
        <w:spacing w:beforeLines="50"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（姓名、职务）系</w:t>
      </w:r>
      <w:r>
        <w:rPr>
          <w:rFonts w:hint="eastAsia" w:ascii="宋体" w:hAnsi="宋体" w:cs="宋体"/>
          <w:kern w:val="0"/>
          <w:szCs w:val="21"/>
          <w:highlight w:val="none"/>
          <w:u w:val="single"/>
        </w:rPr>
        <w:t xml:space="preserve">    </w:t>
      </w:r>
      <w:r>
        <w:rPr>
          <w:rFonts w:hint="eastAsia" w:ascii="宋体" w:hAnsi="宋体"/>
          <w:szCs w:val="21"/>
          <w:highlight w:val="none"/>
        </w:rPr>
        <w:t>供应商</w:t>
      </w:r>
      <w:r>
        <w:rPr>
          <w:rFonts w:hint="eastAsia" w:ascii="宋体" w:hAnsi="宋体" w:cs="宋体"/>
          <w:kern w:val="0"/>
          <w:szCs w:val="21"/>
          <w:highlight w:val="none"/>
        </w:rPr>
        <w:t>名称）的法定代表人，现授权</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（姓名、职务）为我方代理人。代理人根据授权，以我方名义签署、澄清、说明、补正、递交、撤回、修改</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项目名称、政府采购编号）谈判文件、签订合同和处理有关事宜，其法律后果由我方承担。</w:t>
      </w:r>
    </w:p>
    <w:p>
      <w:pPr>
        <w:autoSpaceDE w:val="0"/>
        <w:autoSpaceDN w:val="0"/>
        <w:adjustRightInd w:val="0"/>
        <w:snapToGrid w:val="0"/>
        <w:spacing w:beforeLines="50"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委托期限：</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pPr>
        <w:adjustRightInd w:val="0"/>
        <w:snapToGrid w:val="0"/>
        <w:spacing w:beforeLines="50" w:line="360" w:lineRule="auto"/>
        <w:ind w:firstLine="435"/>
        <w:rPr>
          <w:rFonts w:ascii="宋体" w:hAnsi="宋体" w:cs="宋体"/>
          <w:kern w:val="0"/>
          <w:szCs w:val="21"/>
          <w:highlight w:val="none"/>
        </w:rPr>
      </w:pPr>
      <w:r>
        <w:rPr>
          <w:rFonts w:hint="eastAsia" w:ascii="宋体" w:hAnsi="宋体" w:cs="宋体"/>
          <w:kern w:val="0"/>
          <w:szCs w:val="21"/>
          <w:highlight w:val="none"/>
        </w:rPr>
        <w:t>代理人无转委托权。</w:t>
      </w:r>
    </w:p>
    <w:p>
      <w:pPr>
        <w:adjustRightInd w:val="0"/>
        <w:snapToGrid w:val="0"/>
        <w:spacing w:beforeLines="50" w:line="360" w:lineRule="auto"/>
        <w:ind w:firstLine="435"/>
        <w:rPr>
          <w:rFonts w:ascii="宋体" w:hAnsi="宋体"/>
          <w:szCs w:val="21"/>
          <w:highlight w:val="none"/>
        </w:rPr>
      </w:pPr>
      <w:r>
        <w:rPr>
          <w:rFonts w:hint="eastAsia" w:ascii="宋体" w:hAnsi="宋体"/>
          <w:szCs w:val="21"/>
          <w:highlight w:val="none"/>
        </w:rPr>
        <w:t>本授权书于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日签字生效，特此声明。</w:t>
      </w:r>
    </w:p>
    <w:p>
      <w:pPr>
        <w:adjustRightInd w:val="0"/>
        <w:snapToGrid w:val="0"/>
        <w:spacing w:beforeLines="50" w:line="360" w:lineRule="auto"/>
        <w:ind w:firstLine="420" w:firstLineChars="200"/>
        <w:rPr>
          <w:rFonts w:ascii="宋体" w:hAnsi="宋体"/>
          <w:szCs w:val="21"/>
          <w:highlight w:val="none"/>
        </w:rPr>
      </w:pPr>
    </w:p>
    <w:tbl>
      <w:tblPr>
        <w:tblStyle w:val="37"/>
        <w:tblW w:w="8528" w:type="dxa"/>
        <w:tblInd w:w="0" w:type="dxa"/>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2526" w:hRule="atLeast"/>
        </w:trPr>
        <w:tc>
          <w:tcPr>
            <w:tcW w:w="8528" w:type="dxa"/>
            <w:noWrap/>
            <w:vAlign w:val="center"/>
          </w:tcPr>
          <w:p>
            <w:pPr>
              <w:adjustRightInd w:val="0"/>
              <w:snapToGrid w:val="0"/>
              <w:spacing w:beforeLines="50" w:line="360" w:lineRule="auto"/>
              <w:jc w:val="center"/>
              <w:rPr>
                <w:rFonts w:ascii="宋体" w:hAnsi="宋体"/>
                <w:szCs w:val="21"/>
                <w:highlight w:val="none"/>
              </w:rPr>
            </w:pPr>
            <w:r>
              <w:rPr>
                <w:rFonts w:hint="eastAsia" w:ascii="宋体" w:hAnsi="宋体"/>
                <w:szCs w:val="21"/>
                <w:highlight w:val="none"/>
              </w:rPr>
              <w:t>委托代理人身份证复印件</w:t>
            </w:r>
          </w:p>
        </w:tc>
      </w:tr>
    </w:tbl>
    <w:p>
      <w:pPr>
        <w:adjustRightInd w:val="0"/>
        <w:snapToGrid w:val="0"/>
        <w:spacing w:beforeLines="50" w:line="360" w:lineRule="auto"/>
        <w:ind w:firstLine="420" w:firstLineChars="200"/>
        <w:rPr>
          <w:rFonts w:ascii="宋体" w:hAnsi="宋体"/>
          <w:szCs w:val="21"/>
          <w:highlight w:val="none"/>
        </w:rPr>
      </w:pPr>
    </w:p>
    <w:p>
      <w:pPr>
        <w:adjustRightInd w:val="0"/>
        <w:snapToGrid w:val="0"/>
        <w:spacing w:beforeLines="50" w:line="360" w:lineRule="auto"/>
        <w:rPr>
          <w:rFonts w:ascii="宋体" w:hAnsi="宋体"/>
          <w:szCs w:val="21"/>
          <w:highlight w:val="none"/>
        </w:rPr>
      </w:pPr>
      <w:r>
        <w:rPr>
          <w:rFonts w:hint="eastAsia" w:ascii="宋体" w:hAnsi="宋体"/>
          <w:szCs w:val="21"/>
          <w:highlight w:val="none"/>
        </w:rPr>
        <w:t>供应商名称（单位章）：</w:t>
      </w:r>
    </w:p>
    <w:p>
      <w:pPr>
        <w:adjustRightInd w:val="0"/>
        <w:snapToGrid w:val="0"/>
        <w:spacing w:beforeLines="50" w:line="360" w:lineRule="auto"/>
        <w:ind w:right="420"/>
        <w:rPr>
          <w:rFonts w:ascii="宋体" w:hAnsi="宋体"/>
          <w:szCs w:val="21"/>
          <w:highlight w:val="none"/>
        </w:rPr>
      </w:pPr>
      <w:r>
        <w:rPr>
          <w:rFonts w:hint="eastAsia" w:ascii="宋体" w:hAnsi="宋体"/>
          <w:szCs w:val="21"/>
          <w:highlight w:val="none"/>
        </w:rPr>
        <w:t>法定代表人（签字）：</w:t>
      </w:r>
    </w:p>
    <w:p>
      <w:pPr>
        <w:adjustRightInd w:val="0"/>
        <w:snapToGrid w:val="0"/>
        <w:spacing w:beforeLines="50" w:line="360" w:lineRule="auto"/>
        <w:ind w:right="420"/>
        <w:rPr>
          <w:rFonts w:ascii="宋体"/>
          <w:szCs w:val="21"/>
          <w:highlight w:val="none"/>
        </w:rPr>
      </w:pPr>
      <w:r>
        <w:rPr>
          <w:rFonts w:hint="eastAsia" w:ascii="宋体"/>
          <w:szCs w:val="21"/>
          <w:highlight w:val="none"/>
        </w:rPr>
        <w:t>身份证号码：</w:t>
      </w:r>
    </w:p>
    <w:p>
      <w:pPr>
        <w:adjustRightInd w:val="0"/>
        <w:snapToGrid w:val="0"/>
        <w:spacing w:beforeLines="50" w:line="360" w:lineRule="auto"/>
        <w:ind w:right="420"/>
        <w:rPr>
          <w:rFonts w:ascii="宋体" w:hAnsi="宋体"/>
          <w:szCs w:val="21"/>
          <w:highlight w:val="none"/>
        </w:rPr>
      </w:pPr>
      <w:r>
        <w:rPr>
          <w:rFonts w:hint="eastAsia" w:ascii="宋体"/>
          <w:szCs w:val="21"/>
          <w:highlight w:val="none"/>
        </w:rPr>
        <w:t>联系电话：</w:t>
      </w:r>
    </w:p>
    <w:p>
      <w:pPr>
        <w:adjustRightInd w:val="0"/>
        <w:snapToGrid w:val="0"/>
        <w:spacing w:beforeLines="50" w:line="360" w:lineRule="auto"/>
        <w:ind w:right="420"/>
        <w:rPr>
          <w:rFonts w:ascii="宋体" w:hAnsi="宋体"/>
          <w:szCs w:val="21"/>
          <w:highlight w:val="none"/>
          <w:u w:val="single"/>
        </w:rPr>
      </w:pPr>
      <w:r>
        <w:rPr>
          <w:rFonts w:hint="eastAsia" w:ascii="宋体" w:hAnsi="宋体"/>
          <w:szCs w:val="21"/>
          <w:highlight w:val="none"/>
        </w:rPr>
        <w:t>委托代理人（签字）：</w:t>
      </w:r>
    </w:p>
    <w:p>
      <w:pPr>
        <w:adjustRightInd w:val="0"/>
        <w:snapToGrid w:val="0"/>
        <w:spacing w:beforeLines="50" w:line="360" w:lineRule="auto"/>
        <w:ind w:right="420"/>
        <w:rPr>
          <w:rFonts w:ascii="宋体" w:hAnsi="宋体"/>
          <w:szCs w:val="21"/>
          <w:highlight w:val="none"/>
        </w:rPr>
      </w:pPr>
      <w:r>
        <w:rPr>
          <w:rFonts w:hint="eastAsia" w:ascii="宋体" w:hAnsi="宋体"/>
          <w:szCs w:val="21"/>
          <w:highlight w:val="none"/>
        </w:rPr>
        <w:t>职务：</w:t>
      </w:r>
    </w:p>
    <w:p>
      <w:pPr>
        <w:adjustRightInd w:val="0"/>
        <w:snapToGrid w:val="0"/>
        <w:spacing w:beforeLines="50" w:line="360" w:lineRule="auto"/>
        <w:ind w:right="420"/>
        <w:rPr>
          <w:rFonts w:ascii="宋体" w:hAnsi="宋体"/>
          <w:szCs w:val="21"/>
          <w:highlight w:val="none"/>
        </w:rPr>
      </w:pPr>
      <w:r>
        <w:rPr>
          <w:rFonts w:hint="eastAsia" w:ascii="宋体"/>
          <w:szCs w:val="21"/>
          <w:highlight w:val="none"/>
        </w:rPr>
        <w:t>身份证号码：</w:t>
      </w:r>
    </w:p>
    <w:p>
      <w:pPr>
        <w:pStyle w:val="13"/>
        <w:rPr>
          <w:rFonts w:ascii="宋体" w:hAnsi="宋体"/>
          <w:szCs w:val="21"/>
          <w:highlight w:val="none"/>
        </w:rPr>
      </w:pPr>
      <w:r>
        <w:rPr>
          <w:rFonts w:hint="eastAsia" w:ascii="宋体" w:hAnsi="宋体"/>
          <w:szCs w:val="21"/>
          <w:highlight w:val="none"/>
        </w:rPr>
        <w:t>联系电话：</w:t>
      </w:r>
    </w:p>
    <w:p>
      <w:pPr>
        <w:pStyle w:val="13"/>
        <w:rPr>
          <w:rFonts w:ascii="宋体" w:hAnsi="宋体"/>
          <w:szCs w:val="21"/>
          <w:highlight w:val="none"/>
        </w:rPr>
      </w:pPr>
    </w:p>
    <w:p>
      <w:pPr>
        <w:adjustRightInd w:val="0"/>
        <w:snapToGrid w:val="0"/>
        <w:spacing w:beforeLines="50" w:line="360" w:lineRule="auto"/>
        <w:ind w:right="420"/>
        <w:rPr>
          <w:rFonts w:ascii="宋体" w:hAnsi="宋体"/>
          <w:szCs w:val="21"/>
          <w:highlight w:val="none"/>
        </w:rPr>
      </w:pPr>
      <w:r>
        <w:rPr>
          <w:rFonts w:hint="eastAsia"/>
          <w:szCs w:val="21"/>
          <w:highlight w:val="none"/>
        </w:rPr>
        <w:t>委托代理人详细地址</w:t>
      </w:r>
      <w:r>
        <w:rPr>
          <w:rFonts w:hint="eastAsia" w:ascii="宋体"/>
          <w:szCs w:val="21"/>
          <w:highlight w:val="none"/>
        </w:rPr>
        <w:t>：</w:t>
      </w:r>
    </w:p>
    <w:p>
      <w:pPr>
        <w:adjustRightInd w:val="0"/>
        <w:snapToGrid w:val="0"/>
        <w:spacing w:beforeLines="50" w:line="360" w:lineRule="auto"/>
        <w:ind w:right="420"/>
        <w:rPr>
          <w:rFonts w:ascii="宋体" w:hAnsi="宋体"/>
          <w:szCs w:val="21"/>
          <w:highlight w:val="none"/>
        </w:rPr>
      </w:pPr>
      <w:r>
        <w:rPr>
          <w:rFonts w:hint="eastAsia" w:ascii="宋体" w:hAnsi="宋体"/>
          <w:szCs w:val="21"/>
          <w:highlight w:val="none"/>
        </w:rPr>
        <w:t xml:space="preserve"> 年   月  日</w:t>
      </w:r>
    </w:p>
    <w:p>
      <w:pPr>
        <w:pStyle w:val="17"/>
        <w:spacing w:line="360" w:lineRule="auto"/>
        <w:outlineLvl w:val="2"/>
        <w:rPr>
          <w:b/>
          <w:sz w:val="24"/>
          <w:szCs w:val="24"/>
          <w:highlight w:val="none"/>
        </w:rPr>
      </w:pPr>
      <w:bookmarkStart w:id="194" w:name="_Toc27994_WPSOffice_Level3"/>
    </w:p>
    <w:p>
      <w:pPr>
        <w:pStyle w:val="5"/>
        <w:spacing w:before="0"/>
        <w:ind w:left="210" w:leftChars="100" w:firstLine="0"/>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bookmarkStart w:id="195" w:name="_Toc9921"/>
    </w:p>
    <w:p>
      <w:pPr>
        <w:pStyle w:val="5"/>
        <w:spacing w:before="0"/>
        <w:ind w:left="210" w:leftChars="100" w:firstLine="0"/>
        <w:rPr>
          <w:rFonts w:hint="eastAsia" w:asciiTheme="minorEastAsia" w:hAnsiTheme="minorEastAsia" w:eastAsiaTheme="minorEastAsia"/>
          <w:sz w:val="24"/>
          <w:szCs w:val="24"/>
          <w:highlight w:val="none"/>
        </w:rPr>
      </w:pPr>
    </w:p>
    <w:bookmarkEnd w:id="194"/>
    <w:bookmarkEnd w:id="195"/>
    <w:p>
      <w:pPr>
        <w:pStyle w:val="5"/>
        <w:spacing w:before="0"/>
        <w:ind w:left="210" w:leftChars="100" w:firstLine="0"/>
        <w:rPr>
          <w:rFonts w:ascii="宋体" w:hAnsi="宋体"/>
          <w:sz w:val="24"/>
          <w:szCs w:val="24"/>
          <w:highlight w:val="none"/>
        </w:rPr>
      </w:pPr>
      <w:bookmarkStart w:id="196" w:name="_Toc28668_WPSOffice_Level3"/>
      <w:bookmarkStart w:id="197" w:name="_Toc409775275"/>
      <w:bookmarkStart w:id="198" w:name="_Toc417657282"/>
      <w:bookmarkStart w:id="199" w:name="_Toc417475050"/>
      <w:bookmarkStart w:id="200" w:name="_Toc417475049"/>
      <w:r>
        <w:rPr>
          <w:rFonts w:hint="eastAsia" w:ascii="宋体" w:hAnsi="宋体"/>
          <w:sz w:val="24"/>
          <w:szCs w:val="24"/>
          <w:highlight w:val="none"/>
        </w:rPr>
        <w:t xml:space="preserve"> </w:t>
      </w:r>
      <w:bookmarkEnd w:id="196"/>
      <w:bookmarkStart w:id="201" w:name="_Toc17236_WPSOffice_Level3"/>
      <w:r>
        <w:rPr>
          <w:rFonts w:hint="eastAsia" w:ascii="宋体" w:hAnsi="宋体"/>
          <w:sz w:val="24"/>
          <w:szCs w:val="24"/>
          <w:highlight w:val="none"/>
        </w:rPr>
        <w:t xml:space="preserve"> </w:t>
      </w:r>
    </w:p>
    <w:p>
      <w:pPr>
        <w:pStyle w:val="5"/>
        <w:spacing w:before="0"/>
        <w:ind w:left="210" w:leftChars="100" w:firstLine="0"/>
        <w:rPr>
          <w:rFonts w:ascii="宋体" w:hAnsi="宋体"/>
          <w:sz w:val="24"/>
          <w:szCs w:val="24"/>
          <w:highlight w:val="none"/>
        </w:rPr>
      </w:pPr>
      <w:r>
        <w:rPr>
          <w:rFonts w:hint="eastAsia" w:ascii="宋体" w:hAnsi="宋体"/>
          <w:sz w:val="24"/>
          <w:szCs w:val="24"/>
          <w:highlight w:val="none"/>
        </w:rPr>
        <w:t xml:space="preserve"> </w:t>
      </w:r>
      <w:bookmarkStart w:id="202" w:name="_Toc22520"/>
      <w:r>
        <w:rPr>
          <w:rFonts w:hint="eastAsia" w:ascii="宋体" w:hAnsi="宋体"/>
          <w:sz w:val="24"/>
          <w:szCs w:val="24"/>
          <w:highlight w:val="none"/>
        </w:rPr>
        <w:t>格式</w:t>
      </w:r>
      <w:r>
        <w:rPr>
          <w:rFonts w:hint="eastAsia" w:ascii="宋体" w:hAnsi="宋体"/>
          <w:sz w:val="24"/>
          <w:szCs w:val="24"/>
          <w:highlight w:val="none"/>
          <w:lang w:val="en-US" w:eastAsia="zh-CN"/>
        </w:rPr>
        <w:t>3</w:t>
      </w:r>
      <w:r>
        <w:rPr>
          <w:rFonts w:ascii="宋体" w:hAnsi="宋体"/>
          <w:sz w:val="24"/>
          <w:szCs w:val="24"/>
          <w:highlight w:val="none"/>
        </w:rPr>
        <w:t>-</w:t>
      </w:r>
      <w:r>
        <w:rPr>
          <w:rFonts w:hint="eastAsia" w:ascii="宋体" w:hAnsi="宋体"/>
          <w:sz w:val="24"/>
          <w:szCs w:val="24"/>
          <w:highlight w:val="none"/>
          <w:lang w:val="en-US" w:eastAsia="zh-CN"/>
        </w:rPr>
        <w:t>4</w:t>
      </w:r>
      <w:r>
        <w:rPr>
          <w:rFonts w:hint="eastAsia" w:ascii="宋体" w:hAnsi="宋体"/>
          <w:sz w:val="24"/>
          <w:szCs w:val="24"/>
          <w:highlight w:val="none"/>
        </w:rPr>
        <w:t>：参加政府采购活动前三年内在经营活动中没有重大违法记录的书面声明</w:t>
      </w:r>
      <w:bookmarkEnd w:id="201"/>
      <w:bookmarkEnd w:id="202"/>
    </w:p>
    <w:p>
      <w:pPr>
        <w:pStyle w:val="180"/>
        <w:spacing w:line="360" w:lineRule="exact"/>
        <w:ind w:firstLine="0" w:firstLineChars="0"/>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致：</w:t>
      </w:r>
      <w:r>
        <w:rPr>
          <w:rFonts w:hint="eastAsia" w:asciiTheme="minorEastAsia" w:hAnsiTheme="minorEastAsia" w:eastAsiaTheme="minorEastAsia" w:cstheme="minorEastAsia"/>
          <w:sz w:val="24"/>
          <w:highlight w:val="none"/>
          <w:lang w:eastAsia="zh-CN"/>
        </w:rPr>
        <w:t>楚雄医药高等专科学校</w:t>
      </w:r>
    </w:p>
    <w:p>
      <w:pPr>
        <w:pStyle w:val="32"/>
        <w:spacing w:before="0" w:beforeAutospacing="0" w:after="360" w:afterAutospacing="0" w:line="360" w:lineRule="exact"/>
        <w:ind w:firstLine="540"/>
        <w:textAlignment w:val="baseline"/>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u w:val="single"/>
        </w:rPr>
        <w:t>（供应商名称）</w:t>
      </w:r>
      <w:r>
        <w:rPr>
          <w:rFonts w:hint="eastAsia" w:asciiTheme="minorEastAsia" w:hAnsiTheme="minorEastAsia" w:eastAsiaTheme="minorEastAsia" w:cstheme="minorEastAsia"/>
          <w:highlight w:val="none"/>
        </w:rPr>
        <w:t>在此声明，我方在参加本次政府采购活动前三年内，在经营活动中没有以下重大违法记录：</w:t>
      </w:r>
    </w:p>
    <w:p>
      <w:pPr>
        <w:pStyle w:val="32"/>
        <w:spacing w:before="0" w:beforeAutospacing="0" w:after="360" w:afterAutospacing="0" w:line="360" w:lineRule="exact"/>
        <w:ind w:firstLine="540"/>
        <w:textAlignment w:val="baseline"/>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 我方因违法经营被追究过刑事责任；</w:t>
      </w:r>
    </w:p>
    <w:p>
      <w:pPr>
        <w:pStyle w:val="32"/>
        <w:spacing w:before="0" w:beforeAutospacing="0" w:after="360" w:afterAutospacing="0" w:line="360" w:lineRule="exact"/>
        <w:ind w:firstLine="540"/>
        <w:textAlignment w:val="baseline"/>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 我方因违法经营被责令停产停业、吊销许可证或者执照；</w:t>
      </w:r>
    </w:p>
    <w:p>
      <w:pPr>
        <w:pStyle w:val="32"/>
        <w:spacing w:before="0" w:beforeAutospacing="0" w:after="360" w:afterAutospacing="0" w:line="360" w:lineRule="exact"/>
        <w:ind w:firstLine="540"/>
        <w:textAlignment w:val="baseline"/>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 我方因违法经营被处以较大数额罚款等行政处罚。</w:t>
      </w:r>
    </w:p>
    <w:p>
      <w:pPr>
        <w:pStyle w:val="32"/>
        <w:spacing w:before="0" w:beforeAutospacing="0" w:after="360" w:afterAutospacing="0" w:line="360" w:lineRule="exact"/>
        <w:ind w:firstLine="540"/>
        <w:textAlignment w:val="baseline"/>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 我方在近三年承接的项目中，无违法、违规的不良记录，未因违规或违约介入诉讼或仲裁，不存在拖欠工资情况及重大质量问题、重大安全事故，未因违规或违约解除合同。我方在投标期间没有处于被责令停业、或财产被接管或冻结、或被暂停参加投标活动的处罚阶段。</w:t>
      </w:r>
    </w:p>
    <w:p>
      <w:pPr>
        <w:pStyle w:val="32"/>
        <w:spacing w:before="0" w:beforeAutospacing="0" w:after="360" w:afterAutospacing="0" w:line="360" w:lineRule="exact"/>
        <w:ind w:firstLine="540"/>
        <w:textAlignment w:val="baseline"/>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 我方保证上述信息的完整、客观、真实、准确，若在本项目的招标投标的全过程中，被查实我方提供的资料及上述承诺不属实，或提供的相关资料不属实或不满足响应文件的要求，我方愿意自动放弃投标资格，且我方将自愿无条件承担我方因提供虚假材料谋骗取中标、成交所引起的一切法律后果(包括经济损失)。</w:t>
      </w:r>
    </w:p>
    <w:p>
      <w:pPr>
        <w:pStyle w:val="32"/>
        <w:spacing w:before="0" w:beforeAutospacing="0" w:after="360" w:afterAutospacing="0"/>
        <w:ind w:firstLine="540"/>
        <w:textAlignment w:val="baseline"/>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特此声明！</w:t>
      </w:r>
    </w:p>
    <w:p>
      <w:pPr>
        <w:pStyle w:val="32"/>
        <w:spacing w:before="0" w:beforeAutospacing="0" w:after="360" w:afterAutospacing="0"/>
        <w:ind w:firstLine="540"/>
        <w:textAlignment w:val="baseline"/>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供应商名称（公章）：</w:t>
      </w:r>
    </w:p>
    <w:p>
      <w:pPr>
        <w:pStyle w:val="32"/>
        <w:spacing w:before="0" w:beforeAutospacing="0" w:after="360" w:afterAutospacing="0"/>
        <w:ind w:firstLine="540"/>
        <w:textAlignment w:val="baseline"/>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法定代表人或授权代表（签字）：</w:t>
      </w:r>
    </w:p>
    <w:p>
      <w:pPr>
        <w:pStyle w:val="32"/>
        <w:spacing w:before="0" w:beforeAutospacing="0" w:after="360" w:afterAutospacing="0"/>
        <w:ind w:firstLine="540"/>
        <w:textAlignment w:val="baseline"/>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投标日期：年 月 日</w:t>
      </w:r>
    </w:p>
    <w:bookmarkEnd w:id="197"/>
    <w:bookmarkEnd w:id="198"/>
    <w:bookmarkEnd w:id="199"/>
    <w:bookmarkEnd w:id="200"/>
    <w:p>
      <w:pPr>
        <w:pStyle w:val="4"/>
        <w:spacing w:before="0" w:line="240" w:lineRule="atLeast"/>
        <w:ind w:left="0" w:firstLine="0"/>
        <w:rPr>
          <w:rFonts w:ascii="宋体" w:hAnsi="宋体" w:eastAsia="宋体"/>
          <w:sz w:val="24"/>
          <w:szCs w:val="24"/>
          <w:highlight w:val="none"/>
        </w:rPr>
      </w:pPr>
      <w:bookmarkStart w:id="203" w:name="_Toc417475051"/>
      <w:bookmarkStart w:id="204" w:name="_Toc60996694"/>
      <w:bookmarkStart w:id="205" w:name="_Toc417657284"/>
      <w:bookmarkStart w:id="206" w:name="_Toc9163"/>
      <w:bookmarkStart w:id="207" w:name="_Toc15539_WPSOffice_Level3"/>
    </w:p>
    <w:p>
      <w:pPr>
        <w:pStyle w:val="4"/>
        <w:spacing w:before="0" w:line="240" w:lineRule="atLeast"/>
        <w:ind w:left="0" w:firstLine="0"/>
        <w:rPr>
          <w:rFonts w:ascii="宋体" w:hAnsi="宋体" w:eastAsia="宋体"/>
          <w:sz w:val="24"/>
          <w:szCs w:val="24"/>
          <w:highlight w:val="none"/>
        </w:rPr>
      </w:pPr>
      <w:bookmarkStart w:id="208" w:name="_Toc24650"/>
      <w:r>
        <w:rPr>
          <w:rFonts w:hint="eastAsia" w:ascii="宋体" w:hAnsi="宋体" w:eastAsia="宋体"/>
          <w:sz w:val="24"/>
          <w:szCs w:val="24"/>
          <w:highlight w:val="none"/>
        </w:rPr>
        <w:t>格式</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rPr>
        <w:t>：构成响应文件的其他资料</w:t>
      </w:r>
      <w:bookmarkEnd w:id="203"/>
      <w:bookmarkEnd w:id="204"/>
      <w:bookmarkEnd w:id="205"/>
      <w:bookmarkEnd w:id="206"/>
      <w:bookmarkEnd w:id="207"/>
      <w:bookmarkEnd w:id="208"/>
    </w:p>
    <w:p>
      <w:pPr>
        <w:rPr>
          <w:highlight w:val="none"/>
        </w:rPr>
      </w:pPr>
    </w:p>
    <w:p>
      <w:pPr>
        <w:spacing w:line="460" w:lineRule="exact"/>
        <w:ind w:firstLine="480" w:firstLineChars="200"/>
        <w:rPr>
          <w:rFonts w:ascii="宋体" w:hAnsi="宋体"/>
          <w:sz w:val="24"/>
          <w:highlight w:val="none"/>
        </w:rPr>
      </w:pPr>
      <w:r>
        <w:rPr>
          <w:rFonts w:hint="eastAsia" w:ascii="宋体" w:hAnsi="宋体"/>
          <w:sz w:val="24"/>
          <w:highlight w:val="none"/>
        </w:rPr>
        <w:t>详见第一章“竞争性谈判公告”，有格式的请按给定格式填写如信用查询承诺函等其他资料，无格式要求的请自拟格式。</w:t>
      </w:r>
    </w:p>
    <w:p>
      <w:pPr>
        <w:pStyle w:val="180"/>
        <w:spacing w:line="400" w:lineRule="exact"/>
        <w:ind w:left="420" w:firstLine="0" w:firstLineChars="0"/>
        <w:jc w:val="center"/>
        <w:rPr>
          <w:rFonts w:ascii="宋体" w:hAnsi="宋体"/>
          <w:b/>
          <w:sz w:val="24"/>
          <w:highlight w:val="none"/>
        </w:rPr>
      </w:pPr>
    </w:p>
    <w:p>
      <w:pPr>
        <w:pStyle w:val="4"/>
        <w:spacing w:before="0" w:line="240" w:lineRule="atLeast"/>
        <w:ind w:left="420" w:leftChars="200" w:firstLine="0"/>
        <w:rPr>
          <w:rFonts w:hint="eastAsia" w:ascii="宋体" w:hAnsi="宋体" w:eastAsia="宋体"/>
          <w:sz w:val="32"/>
          <w:szCs w:val="32"/>
          <w:highlight w:val="none"/>
        </w:rPr>
      </w:pPr>
    </w:p>
    <w:p>
      <w:pPr>
        <w:pStyle w:val="4"/>
        <w:spacing w:before="0" w:line="240" w:lineRule="atLeast"/>
        <w:ind w:left="420" w:leftChars="200" w:firstLine="0"/>
        <w:rPr>
          <w:rFonts w:ascii="宋体" w:hAnsi="宋体" w:eastAsia="宋体"/>
          <w:sz w:val="32"/>
          <w:szCs w:val="32"/>
          <w:highlight w:val="none"/>
        </w:rPr>
      </w:pPr>
      <w:bookmarkStart w:id="209" w:name="_Toc12766"/>
      <w:r>
        <w:rPr>
          <w:rFonts w:hint="eastAsia" w:ascii="宋体" w:hAnsi="宋体" w:eastAsia="宋体"/>
          <w:sz w:val="32"/>
          <w:szCs w:val="32"/>
          <w:highlight w:val="none"/>
        </w:rPr>
        <w:t>技术文件</w:t>
      </w:r>
      <w:bookmarkEnd w:id="209"/>
    </w:p>
    <w:p>
      <w:pPr>
        <w:spacing w:line="460" w:lineRule="exact"/>
        <w:ind w:firstLine="480" w:firstLineChars="200"/>
        <w:rPr>
          <w:rFonts w:ascii="宋体" w:hAnsi="宋体"/>
          <w:b/>
          <w:bCs/>
          <w:sz w:val="24"/>
          <w:highlight w:val="none"/>
        </w:rPr>
      </w:pPr>
      <w:r>
        <w:rPr>
          <w:rFonts w:hint="eastAsia" w:ascii="宋体" w:hAnsi="宋体"/>
          <w:sz w:val="24"/>
          <w:highlight w:val="none"/>
        </w:rPr>
        <w:t>至少应包括（但不限于）以下内容：</w:t>
      </w:r>
    </w:p>
    <w:p>
      <w:pPr>
        <w:numPr>
          <w:ilvl w:val="0"/>
          <w:numId w:val="0"/>
        </w:numPr>
        <w:spacing w:line="640" w:lineRule="exact"/>
        <w:ind w:firstLine="480" w:firstLineChars="200"/>
        <w:rPr>
          <w:rFonts w:hint="eastAsia" w:ascii="宋体" w:hAnsi="宋体"/>
          <w:sz w:val="24"/>
          <w:highlight w:val="none"/>
        </w:rPr>
      </w:pPr>
      <w:bookmarkStart w:id="210" w:name="_Toc26723_WPSOffice_Level3"/>
      <w:bookmarkStart w:id="211" w:name="_Toc18212_WPSOffice_Level2"/>
      <w:r>
        <w:rPr>
          <w:rFonts w:hint="eastAsia" w:ascii="宋体" w:hAnsi="宋体"/>
          <w:sz w:val="24"/>
          <w:highlight w:val="none"/>
          <w:lang w:eastAsia="zh-CN"/>
        </w:rPr>
        <w:t>七、</w:t>
      </w:r>
      <w:r>
        <w:rPr>
          <w:rFonts w:hint="eastAsia" w:ascii="宋体" w:hAnsi="宋体"/>
          <w:sz w:val="24"/>
          <w:highlight w:val="none"/>
        </w:rPr>
        <w:t>搬运方案</w:t>
      </w:r>
    </w:p>
    <w:bookmarkEnd w:id="210"/>
    <w:bookmarkEnd w:id="211"/>
    <w:p>
      <w:pPr>
        <w:numPr>
          <w:ilvl w:val="0"/>
          <w:numId w:val="2"/>
        </w:numPr>
        <w:spacing w:line="640" w:lineRule="exact"/>
        <w:ind w:firstLine="480" w:firstLineChars="200"/>
        <w:rPr>
          <w:rFonts w:hint="eastAsia" w:ascii="宋体" w:hAnsi="宋体"/>
          <w:sz w:val="24"/>
          <w:highlight w:val="none"/>
        </w:rPr>
      </w:pPr>
      <w:r>
        <w:rPr>
          <w:rFonts w:hint="eastAsia" w:ascii="宋体" w:hAnsi="宋体"/>
          <w:sz w:val="24"/>
          <w:highlight w:val="none"/>
          <w:lang w:eastAsia="zh-CN"/>
        </w:rPr>
        <w:t>服务承诺</w:t>
      </w:r>
    </w:p>
    <w:p>
      <w:pPr>
        <w:spacing w:line="640" w:lineRule="exact"/>
        <w:ind w:firstLine="480" w:firstLineChars="200"/>
        <w:rPr>
          <w:rFonts w:ascii="宋体" w:hAnsi="宋体"/>
          <w:sz w:val="24"/>
          <w:highlight w:val="none"/>
        </w:rPr>
      </w:pPr>
      <w:r>
        <w:rPr>
          <w:rFonts w:hint="eastAsia" w:ascii="宋体" w:hAnsi="宋体"/>
          <w:sz w:val="24"/>
          <w:highlight w:val="none"/>
          <w:lang w:eastAsia="zh-CN"/>
        </w:rPr>
        <w:t>九、</w:t>
      </w:r>
      <w:r>
        <w:rPr>
          <w:rFonts w:hint="eastAsia" w:ascii="宋体" w:hAnsi="宋体"/>
          <w:sz w:val="24"/>
          <w:highlight w:val="none"/>
        </w:rPr>
        <w:t>其他声明</w:t>
      </w:r>
    </w:p>
    <w:p>
      <w:pPr>
        <w:spacing w:line="640" w:lineRule="exact"/>
        <w:rPr>
          <w:rFonts w:ascii="宋体" w:hAnsi="宋体"/>
          <w:sz w:val="24"/>
          <w:highlight w:val="none"/>
        </w:rPr>
      </w:pPr>
    </w:p>
    <w:p>
      <w:pPr>
        <w:pStyle w:val="13"/>
        <w:rPr>
          <w:rFonts w:ascii="宋体"/>
          <w:highlight w:val="none"/>
        </w:rPr>
      </w:pPr>
    </w:p>
    <w:p>
      <w:pPr>
        <w:pStyle w:val="13"/>
        <w:rPr>
          <w:rFonts w:ascii="宋体" w:hAnsi="宋体"/>
          <w:highlight w:val="none"/>
        </w:rPr>
      </w:pPr>
      <w:bookmarkStart w:id="212" w:name="_Toc60996695"/>
    </w:p>
    <w:p>
      <w:pPr>
        <w:pStyle w:val="4"/>
        <w:spacing w:before="0" w:line="240" w:lineRule="atLeast"/>
        <w:ind w:left="0" w:firstLine="0"/>
        <w:rPr>
          <w:rFonts w:ascii="宋体" w:hAnsi="宋体" w:eastAsia="宋体"/>
          <w:sz w:val="24"/>
          <w:szCs w:val="24"/>
          <w:highlight w:val="none"/>
        </w:rPr>
      </w:pPr>
      <w:bookmarkStart w:id="213" w:name="_Toc21602"/>
      <w:bookmarkStart w:id="214" w:name="_Toc4761_WPSOffice_Level3"/>
      <w:bookmarkStart w:id="215" w:name="_Toc30325"/>
      <w:r>
        <w:rPr>
          <w:rFonts w:hint="eastAsia" w:ascii="宋体" w:hAnsi="宋体" w:eastAsia="宋体"/>
          <w:sz w:val="24"/>
          <w:szCs w:val="24"/>
          <w:highlight w:val="none"/>
        </w:rPr>
        <w:t>格式</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w:t>
      </w:r>
      <w:bookmarkEnd w:id="213"/>
      <w:bookmarkEnd w:id="214"/>
      <w:r>
        <w:rPr>
          <w:rFonts w:hint="eastAsia" w:ascii="宋体" w:hAnsi="宋体"/>
          <w:sz w:val="24"/>
          <w:highlight w:val="none"/>
        </w:rPr>
        <w:t>搬运方案</w:t>
      </w:r>
      <w:bookmarkEnd w:id="215"/>
    </w:p>
    <w:p>
      <w:pPr>
        <w:pStyle w:val="13"/>
        <w:rPr>
          <w:rFonts w:ascii="宋体" w:hAnsi="宋体"/>
          <w:highlight w:val="none"/>
        </w:rPr>
      </w:pPr>
    </w:p>
    <w:p>
      <w:pPr>
        <w:pStyle w:val="13"/>
        <w:rPr>
          <w:rFonts w:ascii="宋体" w:hAnsi="宋体"/>
          <w:kern w:val="2"/>
          <w:highlight w:val="none"/>
        </w:rPr>
      </w:pPr>
      <w:r>
        <w:rPr>
          <w:rFonts w:hint="eastAsia" w:ascii="宋体" w:hAnsi="宋体"/>
          <w:kern w:val="2"/>
          <w:highlight w:val="none"/>
        </w:rPr>
        <w:t>供应商对第五章“</w:t>
      </w:r>
      <w:r>
        <w:rPr>
          <w:rFonts w:hint="eastAsia" w:ascii="宋体" w:hAnsi="宋体"/>
          <w:kern w:val="2"/>
          <w:highlight w:val="none"/>
          <w:lang w:eastAsia="zh-CN"/>
        </w:rPr>
        <w:t>服务内容及要求</w:t>
      </w:r>
      <w:r>
        <w:rPr>
          <w:rFonts w:hint="eastAsia" w:ascii="宋体" w:hAnsi="宋体"/>
          <w:kern w:val="2"/>
          <w:highlight w:val="none"/>
        </w:rPr>
        <w:t>”的具体内容作出响应，提供</w:t>
      </w:r>
      <w:r>
        <w:rPr>
          <w:rFonts w:hint="eastAsia" w:ascii="宋体" w:hAnsi="宋体"/>
          <w:sz w:val="24"/>
          <w:highlight w:val="none"/>
        </w:rPr>
        <w:t>搬运实施方案、人员组织计划、搬运器具配置计划、搬运服务质量保证计划等</w:t>
      </w:r>
      <w:r>
        <w:rPr>
          <w:rFonts w:hint="eastAsia" w:ascii="宋体" w:hAnsi="宋体"/>
          <w:kern w:val="2"/>
          <w:highlight w:val="none"/>
        </w:rPr>
        <w:t>，格式自拟。</w:t>
      </w:r>
    </w:p>
    <w:p>
      <w:pPr>
        <w:pStyle w:val="13"/>
        <w:spacing w:line="640" w:lineRule="exact"/>
        <w:rPr>
          <w:rFonts w:ascii="宋体" w:hAnsi="宋体"/>
          <w:highlight w:val="none"/>
        </w:rPr>
      </w:pPr>
      <w:bookmarkStart w:id="216" w:name="_Toc60996691"/>
      <w:bookmarkStart w:id="217" w:name="_Toc16348_WPSOffice_Level3"/>
      <w:bookmarkStart w:id="218" w:name="_Toc15869"/>
    </w:p>
    <w:p>
      <w:pPr>
        <w:numPr>
          <w:ilvl w:val="0"/>
          <w:numId w:val="0"/>
        </w:numPr>
        <w:spacing w:line="640" w:lineRule="exact"/>
        <w:rPr>
          <w:rFonts w:hint="eastAsia" w:ascii="宋体" w:hAnsi="宋体" w:eastAsia="宋体" w:cs="Times New Roman"/>
          <w:b/>
          <w:kern w:val="0"/>
          <w:sz w:val="24"/>
          <w:szCs w:val="24"/>
          <w:highlight w:val="none"/>
          <w:lang w:val="en-US" w:eastAsia="zh-CN" w:bidi="ar-SA"/>
        </w:rPr>
      </w:pPr>
      <w:bookmarkStart w:id="219" w:name="_Toc28957"/>
      <w:r>
        <w:rPr>
          <w:rFonts w:hint="eastAsia" w:ascii="宋体" w:hAnsi="宋体" w:eastAsia="宋体" w:cs="Times New Roman"/>
          <w:b/>
          <w:kern w:val="0"/>
          <w:sz w:val="24"/>
          <w:szCs w:val="24"/>
          <w:highlight w:val="none"/>
          <w:lang w:val="en-US" w:eastAsia="zh-CN" w:bidi="ar-SA"/>
        </w:rPr>
        <w:t>格式</w:t>
      </w:r>
      <w:r>
        <w:rPr>
          <w:rFonts w:hint="eastAsia" w:ascii="宋体" w:hAnsi="宋体" w:cs="Times New Roman"/>
          <w:b/>
          <w:kern w:val="0"/>
          <w:sz w:val="24"/>
          <w:szCs w:val="24"/>
          <w:highlight w:val="none"/>
          <w:lang w:val="en-US" w:eastAsia="zh-CN" w:bidi="ar-SA"/>
        </w:rPr>
        <w:t>8</w:t>
      </w:r>
      <w:r>
        <w:rPr>
          <w:rFonts w:hint="eastAsia" w:ascii="宋体" w:hAnsi="宋体" w:eastAsia="宋体" w:cs="Times New Roman"/>
          <w:b/>
          <w:kern w:val="0"/>
          <w:sz w:val="24"/>
          <w:szCs w:val="24"/>
          <w:highlight w:val="none"/>
          <w:lang w:val="en-US" w:eastAsia="zh-CN" w:bidi="ar-SA"/>
        </w:rPr>
        <w:t>：</w:t>
      </w:r>
      <w:bookmarkEnd w:id="216"/>
      <w:bookmarkEnd w:id="217"/>
      <w:bookmarkEnd w:id="218"/>
      <w:bookmarkEnd w:id="219"/>
      <w:r>
        <w:rPr>
          <w:rFonts w:hint="eastAsia" w:ascii="宋体" w:hAnsi="宋体" w:eastAsia="宋体" w:cs="Times New Roman"/>
          <w:b/>
          <w:kern w:val="0"/>
          <w:sz w:val="24"/>
          <w:szCs w:val="24"/>
          <w:highlight w:val="none"/>
          <w:lang w:val="en-US" w:eastAsia="zh-CN" w:bidi="ar-SA"/>
        </w:rPr>
        <w:t>服务承诺</w:t>
      </w:r>
    </w:p>
    <w:p>
      <w:pPr>
        <w:pStyle w:val="13"/>
        <w:rPr>
          <w:rFonts w:ascii="宋体" w:hAnsi="宋体"/>
          <w:kern w:val="2"/>
          <w:highlight w:val="none"/>
        </w:rPr>
      </w:pPr>
      <w:r>
        <w:rPr>
          <w:rFonts w:hint="eastAsia" w:ascii="宋体" w:hAnsi="宋体"/>
          <w:sz w:val="24"/>
          <w:highlight w:val="none"/>
          <w:lang w:eastAsia="zh-CN"/>
        </w:rPr>
        <w:t>应包括</w:t>
      </w:r>
      <w:r>
        <w:rPr>
          <w:rFonts w:hint="eastAsia" w:ascii="宋体" w:hAnsi="宋体"/>
          <w:sz w:val="24"/>
          <w:highlight w:val="none"/>
        </w:rPr>
        <w:t>搬运服务安全责任承诺书、搬运服务质量承诺书、搬运服务工期承诺书</w:t>
      </w:r>
      <w:r>
        <w:rPr>
          <w:rFonts w:hint="eastAsia" w:ascii="宋体" w:hAnsi="宋体"/>
          <w:sz w:val="24"/>
          <w:highlight w:val="none"/>
          <w:lang w:eastAsia="zh-CN"/>
        </w:rPr>
        <w:t>，</w:t>
      </w:r>
      <w:r>
        <w:rPr>
          <w:rFonts w:hint="eastAsia" w:ascii="宋体" w:hAnsi="宋体"/>
          <w:kern w:val="2"/>
          <w:highlight w:val="none"/>
        </w:rPr>
        <w:t>格式自拟。</w:t>
      </w:r>
    </w:p>
    <w:p>
      <w:pPr>
        <w:numPr>
          <w:ilvl w:val="0"/>
          <w:numId w:val="0"/>
        </w:numPr>
        <w:spacing w:line="640" w:lineRule="exact"/>
        <w:ind w:firstLine="480" w:firstLineChars="200"/>
        <w:rPr>
          <w:rFonts w:hint="eastAsia" w:ascii="宋体" w:hAnsi="宋体"/>
          <w:sz w:val="24"/>
          <w:highlight w:val="none"/>
        </w:rPr>
      </w:pPr>
    </w:p>
    <w:p>
      <w:pPr>
        <w:pStyle w:val="4"/>
        <w:spacing w:before="0" w:line="240" w:lineRule="atLeast"/>
        <w:ind w:left="0" w:firstLine="0"/>
        <w:rPr>
          <w:rFonts w:asciiTheme="minorEastAsia" w:hAnsiTheme="minorEastAsia" w:eastAsiaTheme="minorEastAsia"/>
          <w:b w:val="0"/>
          <w:bCs/>
          <w:sz w:val="32"/>
          <w:szCs w:val="32"/>
          <w:highlight w:val="none"/>
        </w:rPr>
      </w:pPr>
      <w:r>
        <w:rPr>
          <w:rFonts w:hint="eastAsia" w:asciiTheme="minorEastAsia" w:hAnsiTheme="minorEastAsia" w:eastAsiaTheme="minorEastAsia"/>
          <w:b w:val="0"/>
          <w:bCs/>
          <w:sz w:val="32"/>
          <w:szCs w:val="32"/>
          <w:highlight w:val="none"/>
        </w:rPr>
        <w:t xml:space="preserve">               </w:t>
      </w:r>
    </w:p>
    <w:p>
      <w:pPr>
        <w:pStyle w:val="13"/>
        <w:rPr>
          <w:highlight w:val="none"/>
        </w:rPr>
      </w:pPr>
    </w:p>
    <w:p>
      <w:pPr>
        <w:pStyle w:val="4"/>
        <w:spacing w:before="0" w:line="240" w:lineRule="atLeast"/>
        <w:ind w:left="0" w:firstLine="0"/>
        <w:rPr>
          <w:rFonts w:hint="eastAsia" w:ascii="宋体" w:hAnsi="宋体" w:eastAsia="宋体"/>
          <w:sz w:val="24"/>
          <w:szCs w:val="24"/>
          <w:highlight w:val="none"/>
        </w:rPr>
      </w:pPr>
      <w:bookmarkStart w:id="220" w:name="_Toc20966"/>
      <w:r>
        <w:rPr>
          <w:rFonts w:hint="eastAsia" w:ascii="宋体" w:hAnsi="宋体" w:eastAsia="宋体"/>
          <w:sz w:val="24"/>
          <w:szCs w:val="24"/>
          <w:highlight w:val="none"/>
        </w:rPr>
        <w:t>格式</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：其他声明</w:t>
      </w:r>
      <w:bookmarkEnd w:id="220"/>
    </w:p>
    <w:p>
      <w:pPr>
        <w:rPr>
          <w:rFonts w:hint="eastAsia" w:ascii="宋体" w:hAnsi="宋体" w:eastAsia="宋体"/>
          <w:sz w:val="24"/>
          <w:szCs w:val="24"/>
          <w:highlight w:val="none"/>
        </w:rPr>
      </w:pPr>
    </w:p>
    <w:p>
      <w:pPr>
        <w:pStyle w:val="45"/>
        <w:rPr>
          <w:rFonts w:hint="eastAsia" w:ascii="宋体" w:hAnsi="宋体" w:eastAsia="宋体"/>
          <w:sz w:val="24"/>
          <w:szCs w:val="24"/>
          <w:highlight w:val="none"/>
        </w:rPr>
      </w:pPr>
    </w:p>
    <w:p>
      <w:pPr>
        <w:pStyle w:val="45"/>
        <w:rPr>
          <w:rFonts w:hint="eastAsia" w:ascii="宋体" w:hAnsi="宋体" w:eastAsia="宋体"/>
          <w:sz w:val="24"/>
          <w:szCs w:val="24"/>
          <w:highlight w:val="none"/>
        </w:rPr>
      </w:pPr>
    </w:p>
    <w:p>
      <w:pPr>
        <w:pStyle w:val="45"/>
        <w:rPr>
          <w:rFonts w:hint="eastAsia" w:ascii="宋体" w:hAnsi="宋体" w:eastAsia="宋体"/>
          <w:sz w:val="24"/>
          <w:szCs w:val="24"/>
          <w:highlight w:val="none"/>
        </w:rPr>
      </w:pPr>
    </w:p>
    <w:p>
      <w:pPr>
        <w:pStyle w:val="45"/>
        <w:rPr>
          <w:rFonts w:hint="eastAsia" w:ascii="宋体" w:hAnsi="宋体" w:eastAsia="宋体"/>
          <w:sz w:val="24"/>
          <w:szCs w:val="24"/>
          <w:highlight w:val="none"/>
        </w:rPr>
      </w:pPr>
    </w:p>
    <w:p>
      <w:pPr>
        <w:pStyle w:val="45"/>
        <w:rPr>
          <w:rFonts w:hint="eastAsia" w:ascii="宋体" w:hAnsi="宋体" w:eastAsia="宋体"/>
          <w:sz w:val="24"/>
          <w:szCs w:val="24"/>
          <w:highlight w:val="none"/>
        </w:rPr>
      </w:pPr>
    </w:p>
    <w:p>
      <w:pPr>
        <w:pStyle w:val="45"/>
        <w:rPr>
          <w:rFonts w:hint="eastAsia" w:ascii="宋体" w:hAnsi="宋体" w:eastAsia="宋体"/>
          <w:sz w:val="24"/>
          <w:szCs w:val="24"/>
          <w:highlight w:val="none"/>
        </w:rPr>
      </w:pPr>
    </w:p>
    <w:p>
      <w:pPr>
        <w:pStyle w:val="45"/>
        <w:rPr>
          <w:rFonts w:hint="eastAsia" w:ascii="宋体" w:hAnsi="宋体" w:eastAsia="宋体"/>
          <w:sz w:val="24"/>
          <w:szCs w:val="24"/>
          <w:highlight w:val="none"/>
        </w:rPr>
      </w:pPr>
    </w:p>
    <w:p>
      <w:pPr>
        <w:pStyle w:val="45"/>
        <w:rPr>
          <w:rFonts w:hint="eastAsia" w:ascii="宋体" w:hAnsi="宋体" w:eastAsia="宋体"/>
          <w:sz w:val="24"/>
          <w:szCs w:val="24"/>
          <w:highlight w:val="none"/>
        </w:rPr>
      </w:pPr>
    </w:p>
    <w:p>
      <w:pPr>
        <w:pStyle w:val="45"/>
        <w:rPr>
          <w:rFonts w:hint="eastAsia" w:ascii="宋体" w:hAnsi="宋体" w:eastAsia="宋体"/>
          <w:sz w:val="24"/>
          <w:szCs w:val="24"/>
          <w:highlight w:val="none"/>
        </w:rPr>
      </w:pPr>
    </w:p>
    <w:p>
      <w:pPr>
        <w:pStyle w:val="45"/>
        <w:rPr>
          <w:rFonts w:hint="eastAsia" w:ascii="宋体" w:hAnsi="宋体" w:eastAsia="宋体"/>
          <w:sz w:val="24"/>
          <w:szCs w:val="24"/>
          <w:highlight w:val="none"/>
        </w:rPr>
      </w:pPr>
    </w:p>
    <w:p>
      <w:pPr>
        <w:pStyle w:val="45"/>
        <w:rPr>
          <w:rFonts w:hint="eastAsia" w:ascii="宋体" w:hAnsi="宋体" w:eastAsia="宋体"/>
          <w:sz w:val="24"/>
          <w:szCs w:val="24"/>
          <w:highlight w:val="none"/>
        </w:rPr>
      </w:pPr>
    </w:p>
    <w:p>
      <w:pPr>
        <w:pStyle w:val="45"/>
        <w:rPr>
          <w:rFonts w:hint="eastAsia" w:ascii="宋体" w:hAnsi="宋体" w:eastAsia="宋体"/>
          <w:sz w:val="24"/>
          <w:szCs w:val="24"/>
          <w:highlight w:val="none"/>
        </w:rPr>
      </w:pPr>
    </w:p>
    <w:p>
      <w:pPr>
        <w:pStyle w:val="4"/>
        <w:spacing w:before="0" w:line="240" w:lineRule="atLeast"/>
        <w:ind w:left="0" w:firstLine="482" w:firstLineChars="200"/>
        <w:rPr>
          <w:rFonts w:ascii="宋体" w:eastAsia="宋体"/>
          <w:sz w:val="24"/>
          <w:szCs w:val="24"/>
          <w:highlight w:val="none"/>
        </w:rPr>
      </w:pPr>
    </w:p>
    <w:p>
      <w:pPr>
        <w:pStyle w:val="13"/>
        <w:rPr>
          <w:rFonts w:ascii="宋体" w:hAnsi="宋体"/>
          <w:highlight w:val="none"/>
        </w:rPr>
      </w:pPr>
    </w:p>
    <w:bookmarkEnd w:id="212"/>
    <w:p>
      <w:pPr>
        <w:pStyle w:val="3"/>
        <w:numPr>
          <w:ilvl w:val="0"/>
          <w:numId w:val="3"/>
        </w:numPr>
        <w:ind w:left="0" w:firstLine="0"/>
        <w:jc w:val="center"/>
        <w:rPr>
          <w:rFonts w:hint="eastAsia" w:ascii="黑体"/>
          <w:sz w:val="32"/>
          <w:szCs w:val="32"/>
          <w:highlight w:val="none"/>
        </w:rPr>
      </w:pPr>
      <w:bookmarkStart w:id="221" w:name="_Toc8111_WPSOffice_Level1"/>
      <w:bookmarkStart w:id="222" w:name="_Toc15807_WPSOffice_Level2"/>
      <w:bookmarkStart w:id="223" w:name="_技术规格、参数与要求"/>
      <w:r>
        <w:rPr>
          <w:rFonts w:hint="eastAsia" w:ascii="黑体"/>
          <w:sz w:val="32"/>
          <w:szCs w:val="32"/>
          <w:highlight w:val="none"/>
        </w:rPr>
        <w:t xml:space="preserve"> </w:t>
      </w:r>
      <w:bookmarkStart w:id="224" w:name="_Toc1123"/>
      <w:r>
        <w:rPr>
          <w:rFonts w:hint="eastAsia" w:ascii="黑体"/>
          <w:sz w:val="32"/>
          <w:szCs w:val="32"/>
          <w:highlight w:val="none"/>
          <w:lang w:eastAsia="zh-CN"/>
        </w:rPr>
        <w:t>服务内容及</w:t>
      </w:r>
      <w:r>
        <w:rPr>
          <w:rFonts w:hint="eastAsia" w:ascii="黑体"/>
          <w:sz w:val="32"/>
          <w:szCs w:val="32"/>
          <w:highlight w:val="none"/>
        </w:rPr>
        <w:t>要求</w:t>
      </w:r>
      <w:bookmarkEnd w:id="221"/>
      <w:bookmarkEnd w:id="222"/>
      <w:bookmarkEnd w:id="224"/>
    </w:p>
    <w:p>
      <w:pPr>
        <w:pStyle w:val="32"/>
        <w:keepNext w:val="0"/>
        <w:keepLines w:val="0"/>
        <w:widowControl/>
        <w:suppressLineNumbers w:val="0"/>
        <w:spacing w:before="0" w:beforeAutospacing="0" w:after="0" w:afterAutospacing="0" w:line="480" w:lineRule="atLeast"/>
        <w:ind w:right="0"/>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一、</w:t>
      </w:r>
      <w:r>
        <w:rPr>
          <w:rFonts w:hint="eastAsia" w:ascii="仿宋" w:hAnsi="仿宋" w:eastAsia="仿宋" w:cs="仿宋"/>
          <w:b/>
          <w:bCs/>
          <w:color w:val="000000"/>
          <w:sz w:val="28"/>
          <w:szCs w:val="28"/>
          <w:lang w:eastAsia="zh-CN"/>
        </w:rPr>
        <w:t>服务</w:t>
      </w:r>
      <w:r>
        <w:rPr>
          <w:rFonts w:hint="eastAsia" w:ascii="仿宋" w:hAnsi="仿宋" w:eastAsia="仿宋" w:cs="仿宋"/>
          <w:b/>
          <w:bCs/>
          <w:color w:val="000000"/>
          <w:sz w:val="28"/>
          <w:szCs w:val="28"/>
        </w:rPr>
        <w:t>内容</w:t>
      </w:r>
    </w:p>
    <w:p>
      <w:pPr>
        <w:pStyle w:val="32"/>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楚雄医药高等专科学校校园内课桌椅等物品的搬运工作。</w:t>
      </w:r>
    </w:p>
    <w:p>
      <w:pPr>
        <w:pStyle w:val="32"/>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eastAsia="zh-CN"/>
        </w:rPr>
        <w:t>服务期限：合同签订后至</w:t>
      </w:r>
      <w:r>
        <w:rPr>
          <w:rFonts w:hint="eastAsia" w:ascii="仿宋" w:hAnsi="仿宋" w:eastAsia="仿宋" w:cs="仿宋"/>
          <w:color w:val="000000"/>
          <w:sz w:val="28"/>
          <w:szCs w:val="28"/>
          <w:lang w:val="en-US" w:eastAsia="zh-CN"/>
        </w:rPr>
        <w:t>8月31日</w:t>
      </w:r>
    </w:p>
    <w:p>
      <w:pPr>
        <w:pStyle w:val="32"/>
        <w:keepNext w:val="0"/>
        <w:keepLines w:val="0"/>
        <w:widowControl/>
        <w:suppressLineNumbers w:val="0"/>
        <w:spacing w:before="0" w:beforeAutospacing="0" w:after="0" w:afterAutospacing="0" w:line="480" w:lineRule="atLeast"/>
        <w:ind w:right="0"/>
        <w:jc w:val="left"/>
        <w:rPr>
          <w:rFonts w:ascii="Calibri" w:hAnsi="Calibri" w:cs="Calibri"/>
          <w:sz w:val="21"/>
          <w:szCs w:val="21"/>
        </w:rPr>
      </w:pPr>
      <w:r>
        <w:rPr>
          <w:rFonts w:ascii="仿宋" w:hAnsi="仿宋" w:eastAsia="仿宋" w:cs="仿宋"/>
          <w:b/>
          <w:bCs/>
          <w:color w:val="000000"/>
          <w:sz w:val="28"/>
          <w:szCs w:val="28"/>
        </w:rPr>
        <w:t>二、搬运</w:t>
      </w:r>
      <w:r>
        <w:rPr>
          <w:rFonts w:hint="eastAsia" w:ascii="仿宋" w:hAnsi="仿宋" w:eastAsia="仿宋" w:cs="仿宋"/>
          <w:b/>
          <w:bCs/>
          <w:color w:val="000000"/>
          <w:sz w:val="28"/>
          <w:szCs w:val="28"/>
          <w:lang w:eastAsia="zh-CN"/>
        </w:rPr>
        <w:t>服务内容及要求</w:t>
      </w:r>
      <w:r>
        <w:rPr>
          <w:rFonts w:ascii="仿宋" w:hAnsi="仿宋" w:eastAsia="仿宋" w:cs="仿宋"/>
          <w:b/>
          <w:bCs/>
          <w:color w:val="000000"/>
          <w:sz w:val="28"/>
          <w:szCs w:val="28"/>
        </w:rPr>
        <w:t>：</w:t>
      </w:r>
    </w:p>
    <w:p>
      <w:pPr>
        <w:pStyle w:val="32"/>
        <w:keepNext w:val="0"/>
        <w:keepLines w:val="0"/>
        <w:widowControl/>
        <w:suppressLineNumbers w:val="0"/>
        <w:spacing w:before="0" w:beforeAutospacing="0" w:after="0" w:afterAutospacing="0" w:line="480" w:lineRule="atLeast"/>
        <w:ind w:right="0" w:firstLine="560" w:firstLineChars="200"/>
        <w:jc w:val="left"/>
        <w:rPr>
          <w:rFonts w:hint="default" w:ascii="Calibri" w:hAnsi="Calibri" w:cs="Calibri"/>
          <w:sz w:val="21"/>
          <w:szCs w:val="21"/>
        </w:rPr>
      </w:pPr>
      <w:r>
        <w:rPr>
          <w:rFonts w:hint="eastAsia" w:ascii="仿宋" w:hAnsi="仿宋" w:eastAsia="仿宋" w:cs="仿宋"/>
          <w:color w:val="000000"/>
          <w:sz w:val="28"/>
          <w:szCs w:val="28"/>
        </w:rPr>
        <w:t>1、中标</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必须对所有参加搬运安装的人员进行技术、安全培训，确保搬运过程安全、有序。</w:t>
      </w:r>
    </w:p>
    <w:p>
      <w:pPr>
        <w:pStyle w:val="32"/>
        <w:keepNext w:val="0"/>
        <w:keepLines w:val="0"/>
        <w:widowControl/>
        <w:suppressLineNumbers w:val="0"/>
        <w:spacing w:before="0" w:beforeAutospacing="0" w:after="0" w:afterAutospacing="0" w:line="480" w:lineRule="atLeast"/>
        <w:ind w:left="0" w:right="0" w:firstLine="560"/>
        <w:jc w:val="left"/>
        <w:rPr>
          <w:rFonts w:ascii="Calibri" w:hAnsi="Calibri" w:cs="Calibri"/>
          <w:sz w:val="21"/>
          <w:szCs w:val="21"/>
        </w:rPr>
      </w:pPr>
      <w:r>
        <w:rPr>
          <w:rFonts w:ascii="仿宋" w:hAnsi="仿宋" w:eastAsia="仿宋" w:cs="仿宋"/>
          <w:color w:val="000000"/>
          <w:sz w:val="28"/>
          <w:szCs w:val="28"/>
        </w:rPr>
        <w:t>2</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课桌椅等物品搬运</w:t>
      </w:r>
      <w:r>
        <w:rPr>
          <w:rFonts w:hint="eastAsia" w:ascii="仿宋" w:hAnsi="仿宋" w:eastAsia="仿宋" w:cs="仿宋"/>
          <w:color w:val="000000"/>
          <w:sz w:val="28"/>
          <w:szCs w:val="28"/>
        </w:rPr>
        <w:t>过程中，要做好</w:t>
      </w:r>
      <w:r>
        <w:rPr>
          <w:rFonts w:hint="eastAsia" w:ascii="仿宋" w:hAnsi="仿宋" w:eastAsia="仿宋" w:cs="仿宋"/>
          <w:color w:val="000000"/>
          <w:sz w:val="28"/>
          <w:szCs w:val="28"/>
          <w:lang w:eastAsia="zh-CN"/>
        </w:rPr>
        <w:t>物品</w:t>
      </w:r>
      <w:r>
        <w:rPr>
          <w:rFonts w:hint="eastAsia" w:ascii="仿宋" w:hAnsi="仿宋" w:eastAsia="仿宋" w:cs="仿宋"/>
          <w:color w:val="000000"/>
          <w:sz w:val="28"/>
          <w:szCs w:val="28"/>
        </w:rPr>
        <w:t>保护，避免磕碰，保证</w:t>
      </w:r>
      <w:r>
        <w:rPr>
          <w:rFonts w:hint="eastAsia" w:ascii="仿宋" w:hAnsi="仿宋" w:eastAsia="仿宋" w:cs="仿宋"/>
          <w:color w:val="000000"/>
          <w:sz w:val="28"/>
          <w:szCs w:val="28"/>
          <w:lang w:eastAsia="zh-CN"/>
        </w:rPr>
        <w:t>物品的</w:t>
      </w:r>
      <w:r>
        <w:rPr>
          <w:rFonts w:hint="eastAsia" w:ascii="仿宋" w:hAnsi="仿宋" w:eastAsia="仿宋" w:cs="仿宋"/>
          <w:color w:val="000000"/>
          <w:sz w:val="28"/>
          <w:szCs w:val="28"/>
        </w:rPr>
        <w:t>完好无损，不得破坏性拆装</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避免配件损坏或丢失。</w:t>
      </w:r>
    </w:p>
    <w:p>
      <w:pPr>
        <w:pStyle w:val="32"/>
        <w:keepNext w:val="0"/>
        <w:keepLines w:val="0"/>
        <w:widowControl/>
        <w:suppressLineNumbers w:val="0"/>
        <w:spacing w:before="0" w:beforeAutospacing="0" w:after="0" w:afterAutospacing="0" w:line="480" w:lineRule="atLeast"/>
        <w:ind w:left="0" w:right="0" w:firstLine="560"/>
        <w:jc w:val="left"/>
        <w:rPr>
          <w:rFonts w:hint="default" w:ascii="Calibri" w:hAnsi="Calibri" w:cs="Calibri"/>
          <w:sz w:val="21"/>
          <w:szCs w:val="21"/>
        </w:rPr>
      </w:pPr>
      <w:r>
        <w:rPr>
          <w:rFonts w:hint="eastAsia" w:ascii="仿宋" w:hAnsi="仿宋" w:eastAsia="仿宋" w:cs="仿宋"/>
          <w:color w:val="000000"/>
          <w:sz w:val="28"/>
          <w:szCs w:val="28"/>
        </w:rPr>
        <w:t>3、搬运过程中必须做好具体防护措施。上下楼（车）时要轻拿轻放，装车底部需要有软垫，</w:t>
      </w:r>
      <w:r>
        <w:rPr>
          <w:rFonts w:hint="eastAsia" w:ascii="仿宋" w:hAnsi="仿宋" w:eastAsia="仿宋" w:cs="仿宋"/>
          <w:color w:val="000000"/>
          <w:sz w:val="28"/>
          <w:szCs w:val="28"/>
          <w:lang w:eastAsia="zh-CN"/>
        </w:rPr>
        <w:t>课桌椅等物品</w:t>
      </w:r>
      <w:r>
        <w:rPr>
          <w:rFonts w:hint="eastAsia" w:ascii="仿宋" w:hAnsi="仿宋" w:eastAsia="仿宋" w:cs="仿宋"/>
          <w:color w:val="000000"/>
          <w:sz w:val="28"/>
          <w:szCs w:val="28"/>
        </w:rPr>
        <w:t>之间需有软垫保护，防止碰擦和划痕；运输中防震措施到位，绑扎牢固，避免运输中剧烈震动对</w:t>
      </w:r>
      <w:r>
        <w:rPr>
          <w:rFonts w:hint="eastAsia" w:ascii="仿宋" w:hAnsi="仿宋" w:eastAsia="仿宋" w:cs="仿宋"/>
          <w:color w:val="000000"/>
          <w:sz w:val="28"/>
          <w:szCs w:val="28"/>
          <w:lang w:eastAsia="zh-CN"/>
        </w:rPr>
        <w:t>课桌椅等物品</w:t>
      </w:r>
      <w:r>
        <w:rPr>
          <w:rFonts w:hint="eastAsia" w:ascii="仿宋" w:hAnsi="仿宋" w:eastAsia="仿宋" w:cs="仿宋"/>
          <w:color w:val="000000"/>
          <w:sz w:val="28"/>
          <w:szCs w:val="28"/>
        </w:rPr>
        <w:t>产生影响；运输时车辆慢速、匀速行驶，保持货车平稳，避免大的颠簸。</w:t>
      </w:r>
    </w:p>
    <w:p>
      <w:pPr>
        <w:pStyle w:val="32"/>
        <w:keepNext w:val="0"/>
        <w:keepLines w:val="0"/>
        <w:widowControl/>
        <w:suppressLineNumbers w:val="0"/>
        <w:spacing w:before="0" w:beforeAutospacing="0" w:after="0" w:afterAutospacing="0" w:line="480" w:lineRule="atLeast"/>
        <w:ind w:left="0" w:right="0" w:firstLine="560"/>
        <w:jc w:val="left"/>
        <w:rPr>
          <w:rFonts w:hint="default" w:ascii="Calibri" w:hAnsi="Calibri" w:cs="Calibri"/>
          <w:sz w:val="21"/>
          <w:szCs w:val="21"/>
        </w:rPr>
      </w:pPr>
      <w:r>
        <w:rPr>
          <w:rFonts w:hint="eastAsia" w:ascii="仿宋" w:hAnsi="仿宋" w:eastAsia="仿宋" w:cs="仿宋"/>
          <w:color w:val="000000"/>
          <w:sz w:val="28"/>
          <w:szCs w:val="28"/>
        </w:rPr>
        <w:t>4、</w:t>
      </w:r>
      <w:r>
        <w:rPr>
          <w:rFonts w:hint="eastAsia" w:ascii="仿宋" w:hAnsi="仿宋" w:eastAsia="仿宋" w:cs="仿宋"/>
          <w:sz w:val="28"/>
          <w:szCs w:val="28"/>
          <w:u w:val="single"/>
        </w:rPr>
        <w:t>中标单位如发现个别</w:t>
      </w:r>
      <w:r>
        <w:rPr>
          <w:rFonts w:hint="eastAsia" w:ascii="仿宋" w:hAnsi="仿宋" w:eastAsia="仿宋" w:cs="仿宋"/>
          <w:sz w:val="28"/>
          <w:szCs w:val="28"/>
          <w:u w:val="single"/>
          <w:lang w:eastAsia="zh-CN"/>
        </w:rPr>
        <w:t>搬运物品</w:t>
      </w:r>
      <w:r>
        <w:rPr>
          <w:rFonts w:hint="eastAsia" w:ascii="仿宋" w:hAnsi="仿宋" w:eastAsia="仿宋" w:cs="仿宋"/>
          <w:sz w:val="28"/>
          <w:szCs w:val="28"/>
          <w:u w:val="single"/>
        </w:rPr>
        <w:t>有质量问题，应在</w:t>
      </w:r>
      <w:r>
        <w:rPr>
          <w:rFonts w:hint="eastAsia" w:ascii="仿宋" w:hAnsi="仿宋" w:eastAsia="仿宋" w:cs="仿宋"/>
          <w:sz w:val="28"/>
          <w:szCs w:val="28"/>
          <w:u w:val="single"/>
          <w:lang w:eastAsia="zh-CN"/>
        </w:rPr>
        <w:t>搬运</w:t>
      </w:r>
      <w:r>
        <w:rPr>
          <w:rFonts w:hint="eastAsia" w:ascii="仿宋" w:hAnsi="仿宋" w:eastAsia="仿宋" w:cs="仿宋"/>
          <w:sz w:val="28"/>
          <w:szCs w:val="28"/>
          <w:u w:val="single"/>
        </w:rPr>
        <w:t>前让发标单位工作人员现场确认；一旦</w:t>
      </w:r>
      <w:r>
        <w:rPr>
          <w:rFonts w:hint="eastAsia" w:ascii="仿宋" w:hAnsi="仿宋" w:eastAsia="仿宋" w:cs="仿宋"/>
          <w:sz w:val="28"/>
          <w:szCs w:val="28"/>
          <w:u w:val="single"/>
          <w:lang w:eastAsia="zh-CN"/>
        </w:rPr>
        <w:t>搬运</w:t>
      </w:r>
      <w:r>
        <w:rPr>
          <w:rFonts w:hint="eastAsia" w:ascii="仿宋" w:hAnsi="仿宋" w:eastAsia="仿宋" w:cs="仿宋"/>
          <w:sz w:val="28"/>
          <w:szCs w:val="28"/>
          <w:u w:val="single"/>
        </w:rPr>
        <w:t>，发生划破损伤、变形等影响使用效果的，全部由中标单位负责修复和调整到位，学校保留进一步追责的权利。</w:t>
      </w:r>
    </w:p>
    <w:p>
      <w:pPr>
        <w:pStyle w:val="32"/>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b/>
          <w:bCs/>
          <w:color w:val="000000"/>
          <w:sz w:val="28"/>
          <w:szCs w:val="28"/>
          <w:u w:val="single"/>
          <w:lang w:eastAsia="zh-CN"/>
        </w:rPr>
      </w:pPr>
      <w:r>
        <w:rPr>
          <w:rFonts w:hint="eastAsia" w:ascii="仿宋" w:hAnsi="仿宋" w:eastAsia="仿宋" w:cs="仿宋"/>
          <w:b/>
          <w:bCs/>
          <w:color w:val="000000"/>
          <w:sz w:val="28"/>
          <w:szCs w:val="28"/>
          <w:u w:val="single"/>
          <w:lang w:val="en-US" w:eastAsia="zh-CN"/>
        </w:rPr>
        <w:t>5</w:t>
      </w:r>
      <w:r>
        <w:rPr>
          <w:rFonts w:hint="eastAsia" w:ascii="仿宋" w:hAnsi="仿宋" w:eastAsia="仿宋" w:cs="仿宋"/>
          <w:b/>
          <w:bCs/>
          <w:color w:val="000000"/>
          <w:sz w:val="28"/>
          <w:szCs w:val="28"/>
          <w:u w:val="single"/>
        </w:rPr>
        <w:t>、本项目搬运过程中所有安全责任都由中标</w:t>
      </w:r>
      <w:r>
        <w:rPr>
          <w:rFonts w:hint="eastAsia" w:ascii="仿宋" w:hAnsi="仿宋" w:eastAsia="仿宋" w:cs="仿宋"/>
          <w:b/>
          <w:bCs/>
          <w:color w:val="000000"/>
          <w:sz w:val="28"/>
          <w:szCs w:val="28"/>
          <w:u w:val="single"/>
          <w:lang w:eastAsia="zh-CN"/>
        </w:rPr>
        <w:t>供应商</w:t>
      </w:r>
      <w:r>
        <w:rPr>
          <w:rFonts w:hint="eastAsia" w:ascii="仿宋" w:hAnsi="仿宋" w:eastAsia="仿宋" w:cs="仿宋"/>
          <w:b/>
          <w:bCs/>
          <w:color w:val="000000"/>
          <w:sz w:val="28"/>
          <w:szCs w:val="28"/>
          <w:u w:val="single"/>
        </w:rPr>
        <w:t>负责</w:t>
      </w:r>
      <w:r>
        <w:rPr>
          <w:rFonts w:hint="eastAsia" w:ascii="仿宋" w:hAnsi="仿宋" w:eastAsia="仿宋" w:cs="仿宋"/>
          <w:b/>
          <w:bCs/>
          <w:color w:val="000000"/>
          <w:sz w:val="28"/>
          <w:szCs w:val="28"/>
          <w:u w:val="single"/>
          <w:lang w:eastAsia="zh-CN"/>
        </w:rPr>
        <w:t>。</w:t>
      </w:r>
    </w:p>
    <w:p>
      <w:pPr>
        <w:pStyle w:val="32"/>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color w:val="000000"/>
          <w:sz w:val="28"/>
          <w:szCs w:val="28"/>
          <w:lang w:val="en-US" w:eastAsia="zh-CN"/>
        </w:rPr>
      </w:pPr>
      <w:r>
        <w:rPr>
          <w:rFonts w:hint="eastAsia" w:ascii="仿宋" w:hAnsi="仿宋" w:eastAsia="仿宋" w:cs="仿宋"/>
          <w:sz w:val="28"/>
          <w:szCs w:val="28"/>
          <w:lang w:val="en-US" w:eastAsia="zh-CN"/>
        </w:rPr>
        <w:t>6、</w:t>
      </w:r>
      <w:r>
        <w:rPr>
          <w:rFonts w:hint="eastAsia" w:ascii="仿宋" w:hAnsi="仿宋" w:eastAsia="仿宋" w:cs="仿宋"/>
          <w:color w:val="000000"/>
          <w:sz w:val="28"/>
          <w:szCs w:val="28"/>
        </w:rPr>
        <w:t>中标</w:t>
      </w:r>
      <w:r>
        <w:rPr>
          <w:rFonts w:hint="eastAsia" w:ascii="仿宋" w:hAnsi="仿宋" w:eastAsia="仿宋" w:cs="仿宋"/>
          <w:color w:val="000000"/>
          <w:sz w:val="28"/>
          <w:szCs w:val="28"/>
          <w:lang w:eastAsia="zh-CN"/>
        </w:rPr>
        <w:t>供应商派出的</w:t>
      </w:r>
      <w:r>
        <w:rPr>
          <w:rFonts w:hint="eastAsia" w:ascii="仿宋" w:hAnsi="仿宋" w:eastAsia="仿宋" w:cs="仿宋"/>
          <w:color w:val="000000"/>
          <w:sz w:val="28"/>
          <w:szCs w:val="28"/>
          <w:lang w:val="en-US" w:eastAsia="zh-CN"/>
        </w:rPr>
        <w:t>搬运人员年龄应不超过50岁，身体健康。</w:t>
      </w:r>
    </w:p>
    <w:p>
      <w:pPr>
        <w:pStyle w:val="32"/>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7、搬运所需车辆和相关设备由中标供应商自行提供。</w:t>
      </w:r>
    </w:p>
    <w:p>
      <w:pPr>
        <w:pStyle w:val="32"/>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b/>
          <w:bCs/>
          <w:color w:val="000000"/>
          <w:sz w:val="28"/>
          <w:szCs w:val="28"/>
          <w:u w:val="single"/>
        </w:rPr>
      </w:pP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、中标单位的搬运人员需服从我校现场负责人的安排，按照现场负责人的要求进行摆放安装</w:t>
      </w:r>
      <w:r>
        <w:rPr>
          <w:rFonts w:hint="eastAsia" w:ascii="仿宋" w:hAnsi="仿宋" w:eastAsia="仿宋" w:cs="仿宋"/>
          <w:b/>
          <w:bCs/>
          <w:color w:val="000000"/>
          <w:sz w:val="28"/>
          <w:szCs w:val="28"/>
          <w:u w:val="single"/>
        </w:rPr>
        <w:t>，中标单位应服从招标单位统一调度。</w:t>
      </w:r>
    </w:p>
    <w:p>
      <w:pPr>
        <w:pStyle w:val="32"/>
        <w:keepNext w:val="0"/>
        <w:keepLines w:val="0"/>
        <w:widowControl/>
        <w:suppressLineNumbers w:val="0"/>
        <w:spacing w:before="0" w:beforeAutospacing="0" w:after="0" w:afterAutospacing="0" w:line="480" w:lineRule="atLeast"/>
        <w:ind w:left="0" w:right="0" w:firstLine="562"/>
        <w:jc w:val="left"/>
        <w:rPr>
          <w:rFonts w:ascii="Calibri" w:hAnsi="Calibri" w:cs="Calibri"/>
          <w:sz w:val="21"/>
          <w:szCs w:val="21"/>
        </w:rPr>
      </w:pPr>
      <w:r>
        <w:rPr>
          <w:rFonts w:hint="eastAsia" w:ascii="仿宋" w:hAnsi="仿宋" w:eastAsia="仿宋" w:cs="仿宋"/>
          <w:b/>
          <w:bCs/>
          <w:sz w:val="28"/>
          <w:szCs w:val="28"/>
          <w:lang w:eastAsia="zh-CN"/>
        </w:rPr>
        <w:t>三</w:t>
      </w:r>
      <w:r>
        <w:rPr>
          <w:rFonts w:ascii="仿宋" w:hAnsi="仿宋" w:eastAsia="仿宋" w:cs="仿宋"/>
          <w:b/>
          <w:bCs/>
          <w:sz w:val="28"/>
          <w:szCs w:val="28"/>
        </w:rPr>
        <w:t>、付款方式</w:t>
      </w:r>
    </w:p>
    <w:p>
      <w:pPr>
        <w:pStyle w:val="32"/>
        <w:keepNext w:val="0"/>
        <w:keepLines w:val="0"/>
        <w:widowControl/>
        <w:suppressLineNumbers w:val="0"/>
        <w:spacing w:before="0" w:beforeAutospacing="0" w:after="0" w:afterAutospacing="0" w:line="480" w:lineRule="atLeast"/>
        <w:ind w:left="0" w:right="0" w:firstLine="560"/>
        <w:jc w:val="left"/>
        <w:rPr>
          <w:rFonts w:hint="default" w:ascii="Calibri" w:hAnsi="Calibri" w:cs="Calibri"/>
          <w:sz w:val="21"/>
          <w:szCs w:val="21"/>
        </w:rPr>
      </w:pPr>
      <w:r>
        <w:rPr>
          <w:rFonts w:hint="eastAsia" w:ascii="仿宋" w:hAnsi="仿宋" w:eastAsia="仿宋" w:cs="仿宋"/>
          <w:sz w:val="28"/>
          <w:szCs w:val="28"/>
        </w:rPr>
        <w:t>中标人搬运服务结束经招标人验收合格后招标人</w:t>
      </w:r>
      <w:r>
        <w:rPr>
          <w:rFonts w:hint="eastAsia" w:ascii="仿宋" w:hAnsi="仿宋" w:eastAsia="仿宋" w:cs="仿宋"/>
          <w:sz w:val="28"/>
          <w:szCs w:val="28"/>
          <w:lang w:eastAsia="zh-CN"/>
        </w:rPr>
        <w:t>按实际用工人数及天数据实结算</w:t>
      </w:r>
      <w:r>
        <w:rPr>
          <w:rFonts w:hint="eastAsia" w:ascii="仿宋" w:hAnsi="仿宋" w:eastAsia="仿宋" w:cs="仿宋"/>
          <w:sz w:val="28"/>
          <w:szCs w:val="28"/>
        </w:rPr>
        <w:t>。</w:t>
      </w:r>
    </w:p>
    <w:p>
      <w:pPr>
        <w:pStyle w:val="32"/>
        <w:keepNext w:val="0"/>
        <w:keepLines w:val="0"/>
        <w:widowControl/>
        <w:suppressLineNumbers w:val="0"/>
        <w:spacing w:before="0" w:beforeAutospacing="0" w:after="0" w:afterAutospacing="0" w:line="480" w:lineRule="atLeast"/>
        <w:ind w:left="0" w:right="0" w:firstLine="562"/>
        <w:jc w:val="left"/>
        <w:rPr>
          <w:rFonts w:hint="default" w:ascii="Calibri" w:hAnsi="Calibri" w:cs="Calibri"/>
          <w:sz w:val="21"/>
          <w:szCs w:val="21"/>
        </w:rPr>
      </w:pPr>
      <w:r>
        <w:rPr>
          <w:rFonts w:hint="eastAsia" w:ascii="仿宋" w:hAnsi="仿宋" w:eastAsia="仿宋" w:cs="仿宋"/>
          <w:b/>
          <w:bCs/>
          <w:sz w:val="28"/>
          <w:szCs w:val="28"/>
          <w:lang w:eastAsia="zh-CN"/>
        </w:rPr>
        <w:t>四</w:t>
      </w:r>
      <w:r>
        <w:rPr>
          <w:rFonts w:hint="eastAsia" w:ascii="仿宋" w:hAnsi="仿宋" w:eastAsia="仿宋" w:cs="仿宋"/>
          <w:b/>
          <w:bCs/>
          <w:sz w:val="28"/>
          <w:szCs w:val="28"/>
        </w:rPr>
        <w:t>、违约责任</w:t>
      </w:r>
    </w:p>
    <w:p>
      <w:pPr>
        <w:pStyle w:val="32"/>
        <w:keepNext w:val="0"/>
        <w:keepLines w:val="0"/>
        <w:widowControl/>
        <w:suppressLineNumbers w:val="0"/>
        <w:spacing w:before="0" w:beforeAutospacing="0" w:after="0" w:afterAutospacing="0" w:line="480" w:lineRule="atLeast"/>
        <w:ind w:left="0" w:right="0" w:firstLine="560"/>
        <w:jc w:val="left"/>
        <w:rPr>
          <w:rFonts w:hint="default" w:ascii="Calibri" w:hAnsi="Calibri" w:cs="Calibri"/>
          <w:sz w:val="21"/>
          <w:szCs w:val="21"/>
        </w:rPr>
      </w:pPr>
      <w:r>
        <w:rPr>
          <w:rFonts w:hint="eastAsia" w:ascii="仿宋" w:hAnsi="仿宋" w:eastAsia="仿宋" w:cs="仿宋"/>
          <w:sz w:val="28"/>
          <w:szCs w:val="28"/>
        </w:rPr>
        <w:t>（一）中标人不得将项目转包或分包，一经发现，招标人有权解除合同，所造成的一切损失均由中标人负责。</w:t>
      </w:r>
    </w:p>
    <w:p>
      <w:pPr>
        <w:pStyle w:val="32"/>
        <w:keepNext w:val="0"/>
        <w:keepLines w:val="0"/>
        <w:widowControl/>
        <w:suppressLineNumbers w:val="0"/>
        <w:spacing w:before="0" w:beforeAutospacing="0" w:after="0" w:afterAutospacing="0" w:line="480" w:lineRule="atLeast"/>
        <w:ind w:left="0" w:right="0" w:firstLine="560"/>
        <w:jc w:val="left"/>
        <w:rPr>
          <w:rFonts w:hint="default" w:ascii="Calibri" w:hAnsi="Calibri" w:cs="Calibri"/>
          <w:sz w:val="21"/>
          <w:szCs w:val="21"/>
        </w:rPr>
      </w:pPr>
      <w:r>
        <w:rPr>
          <w:rFonts w:hint="eastAsia" w:ascii="仿宋" w:hAnsi="仿宋" w:eastAsia="仿宋" w:cs="仿宋"/>
          <w:sz w:val="28"/>
          <w:szCs w:val="28"/>
        </w:rPr>
        <w:t>（二）中标人搬运服务质量未能达到招标人要求，根据检查情况，招标人向中标人每发出一张整改单，扣合同金额的</w:t>
      </w:r>
      <w:r>
        <w:rPr>
          <w:rFonts w:hint="default" w:ascii="Arial" w:hAnsi="Arial" w:eastAsia="仿宋" w:cs="Arial"/>
          <w:sz w:val="28"/>
          <w:szCs w:val="28"/>
        </w:rPr>
        <w:t>1%</w:t>
      </w:r>
      <w:r>
        <w:rPr>
          <w:rFonts w:hint="eastAsia" w:ascii="仿宋" w:hAnsi="仿宋" w:eastAsia="仿宋" w:cs="仿宋"/>
          <w:sz w:val="28"/>
          <w:szCs w:val="28"/>
        </w:rPr>
        <w:t>；</w:t>
      </w:r>
    </w:p>
    <w:bookmarkEnd w:id="223"/>
    <w:p>
      <w:pPr>
        <w:pStyle w:val="45"/>
        <w:rPr>
          <w:rFonts w:hint="eastAsia"/>
        </w:rPr>
      </w:pPr>
      <w:bookmarkStart w:id="225" w:name="_Toc25325_WPSOffice_Level1"/>
      <w:bookmarkStart w:id="226" w:name="_Toc60996698"/>
      <w:bookmarkStart w:id="227" w:name="_Toc17377_WPSOffice_Level2"/>
      <w:bookmarkStart w:id="228" w:name="_第七章____评标办法（综合评分法）"/>
    </w:p>
    <w:p>
      <w:pPr>
        <w:pStyle w:val="3"/>
        <w:ind w:left="0" w:firstLine="0"/>
        <w:jc w:val="center"/>
        <w:rPr>
          <w:rFonts w:hint="eastAsia" w:ascii="黑体"/>
          <w:sz w:val="32"/>
          <w:szCs w:val="32"/>
          <w:highlight w:val="none"/>
        </w:rPr>
      </w:pPr>
    </w:p>
    <w:p>
      <w:pPr>
        <w:pStyle w:val="3"/>
        <w:ind w:left="0" w:firstLine="0"/>
        <w:jc w:val="center"/>
        <w:rPr>
          <w:rFonts w:ascii="黑体"/>
          <w:sz w:val="32"/>
          <w:szCs w:val="32"/>
          <w:highlight w:val="none"/>
        </w:rPr>
      </w:pPr>
      <w:bookmarkStart w:id="229" w:name="_Toc7470"/>
      <w:r>
        <w:rPr>
          <w:rFonts w:hint="eastAsia" w:ascii="黑体"/>
          <w:sz w:val="32"/>
          <w:szCs w:val="32"/>
          <w:highlight w:val="none"/>
        </w:rPr>
        <w:t>第六章  评审办法</w:t>
      </w:r>
      <w:bookmarkEnd w:id="225"/>
      <w:bookmarkEnd w:id="226"/>
      <w:bookmarkEnd w:id="227"/>
      <w:bookmarkEnd w:id="229"/>
    </w:p>
    <w:bookmarkEnd w:id="228"/>
    <w:p>
      <w:pPr>
        <w:pStyle w:val="4"/>
        <w:spacing w:before="0" w:line="240" w:lineRule="atLeast"/>
        <w:ind w:left="0" w:firstLine="0"/>
        <w:jc w:val="center"/>
        <w:rPr>
          <w:rFonts w:ascii="宋体" w:hAnsi="宋体" w:eastAsia="宋体"/>
          <w:sz w:val="24"/>
          <w:szCs w:val="24"/>
          <w:highlight w:val="none"/>
        </w:rPr>
      </w:pPr>
      <w:bookmarkStart w:id="230" w:name="_Toc22745_WPSOffice_Level2"/>
      <w:bookmarkStart w:id="231" w:name="_Toc22394_WPSOffice_Level3"/>
      <w:bookmarkStart w:id="232" w:name="_综合评分前附表"/>
      <w:bookmarkStart w:id="233" w:name="_Toc1531"/>
      <w:r>
        <w:rPr>
          <w:rFonts w:hint="eastAsia" w:ascii="宋体" w:hAnsi="宋体" w:eastAsia="宋体"/>
          <w:sz w:val="24"/>
          <w:szCs w:val="24"/>
          <w:highlight w:val="none"/>
        </w:rPr>
        <w:t>评审办法前附</w:t>
      </w:r>
      <w:bookmarkEnd w:id="230"/>
      <w:bookmarkEnd w:id="231"/>
      <w:bookmarkEnd w:id="232"/>
      <w:r>
        <w:rPr>
          <w:rFonts w:hint="eastAsia" w:ascii="宋体" w:hAnsi="宋体" w:eastAsia="宋体"/>
          <w:sz w:val="24"/>
          <w:szCs w:val="24"/>
          <w:highlight w:val="none"/>
        </w:rPr>
        <w:t>表</w:t>
      </w:r>
      <w:bookmarkEnd w:id="233"/>
    </w:p>
    <w:tbl>
      <w:tblPr>
        <w:tblStyle w:val="37"/>
        <w:tblpPr w:leftFromText="180" w:rightFromText="180" w:vertAnchor="text" w:horzAnchor="page" w:tblpX="1543" w:tblpY="110"/>
        <w:tblOverlap w:val="never"/>
        <w:tblW w:w="9296"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817"/>
        <w:gridCol w:w="817"/>
        <w:gridCol w:w="1397"/>
        <w:gridCol w:w="626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1" w:hRule="atLeast"/>
        </w:trPr>
        <w:tc>
          <w:tcPr>
            <w:tcW w:w="1634" w:type="dxa"/>
            <w:gridSpan w:val="2"/>
            <w:tcBorders>
              <w:top w:val="single" w:color="auto" w:sz="12" w:space="0"/>
            </w:tcBorders>
            <w:vAlign w:val="center"/>
          </w:tcPr>
          <w:p>
            <w:pPr>
              <w:jc w:val="center"/>
              <w:rPr>
                <w:rFonts w:ascii="宋体"/>
                <w:b/>
                <w:szCs w:val="21"/>
                <w:highlight w:val="none"/>
              </w:rPr>
            </w:pPr>
            <w:bookmarkStart w:id="234" w:name="_Toc60996699"/>
            <w:bookmarkStart w:id="235" w:name="_Toc31028"/>
            <w:r>
              <w:rPr>
                <w:rFonts w:hint="eastAsia" w:ascii="宋体" w:hAnsi="宋体"/>
                <w:b/>
                <w:szCs w:val="21"/>
                <w:highlight w:val="none"/>
              </w:rPr>
              <w:t>条款号</w:t>
            </w:r>
          </w:p>
        </w:tc>
        <w:tc>
          <w:tcPr>
            <w:tcW w:w="1397" w:type="dxa"/>
            <w:tcBorders>
              <w:top w:val="single" w:color="auto" w:sz="12" w:space="0"/>
            </w:tcBorders>
            <w:vAlign w:val="center"/>
          </w:tcPr>
          <w:p>
            <w:pPr>
              <w:jc w:val="center"/>
              <w:rPr>
                <w:rFonts w:ascii="宋体"/>
                <w:b/>
                <w:szCs w:val="21"/>
                <w:highlight w:val="none"/>
              </w:rPr>
            </w:pPr>
            <w:r>
              <w:rPr>
                <w:rFonts w:hint="eastAsia" w:ascii="宋体" w:hAnsi="宋体"/>
                <w:b/>
                <w:szCs w:val="21"/>
                <w:highlight w:val="none"/>
              </w:rPr>
              <w:t>评审因素</w:t>
            </w:r>
          </w:p>
        </w:tc>
        <w:tc>
          <w:tcPr>
            <w:tcW w:w="6265" w:type="dxa"/>
            <w:tcBorders>
              <w:top w:val="single" w:color="auto" w:sz="12" w:space="0"/>
            </w:tcBorders>
            <w:vAlign w:val="center"/>
          </w:tcPr>
          <w:p>
            <w:pPr>
              <w:jc w:val="center"/>
              <w:rPr>
                <w:rFonts w:ascii="宋体"/>
                <w:b/>
                <w:szCs w:val="21"/>
                <w:highlight w:val="none"/>
              </w:rPr>
            </w:pPr>
            <w:r>
              <w:rPr>
                <w:rFonts w:hint="eastAsia" w:ascii="宋体" w:hAnsi="宋体"/>
                <w:b/>
                <w:szCs w:val="21"/>
                <w:highlight w:val="none"/>
              </w:rPr>
              <w:t>评审标准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4" w:hRule="atLeast"/>
        </w:trPr>
        <w:tc>
          <w:tcPr>
            <w:tcW w:w="817" w:type="dxa"/>
            <w:vMerge w:val="restart"/>
            <w:tcBorders>
              <w:top w:val="single" w:color="auto" w:sz="12" w:space="0"/>
            </w:tcBorders>
            <w:vAlign w:val="center"/>
          </w:tcPr>
          <w:p>
            <w:pPr>
              <w:jc w:val="center"/>
              <w:rPr>
                <w:rFonts w:ascii="宋体" w:hAnsi="宋体"/>
                <w:b/>
                <w:szCs w:val="21"/>
                <w:highlight w:val="none"/>
              </w:rPr>
            </w:pPr>
            <w:r>
              <w:rPr>
                <w:rFonts w:hint="eastAsia" w:ascii="宋体" w:hAnsi="宋体"/>
                <w:b/>
                <w:szCs w:val="21"/>
                <w:highlight w:val="none"/>
              </w:rPr>
              <w:t>1</w:t>
            </w:r>
          </w:p>
        </w:tc>
        <w:tc>
          <w:tcPr>
            <w:tcW w:w="817" w:type="dxa"/>
            <w:vMerge w:val="restart"/>
            <w:tcBorders>
              <w:top w:val="single" w:color="auto" w:sz="12" w:space="0"/>
            </w:tcBorders>
            <w:vAlign w:val="center"/>
          </w:tcPr>
          <w:p>
            <w:pPr>
              <w:jc w:val="center"/>
              <w:rPr>
                <w:rFonts w:ascii="宋体" w:hAnsi="宋体"/>
                <w:b/>
                <w:szCs w:val="21"/>
                <w:highlight w:val="none"/>
              </w:rPr>
            </w:pPr>
            <w:r>
              <w:rPr>
                <w:rFonts w:hint="eastAsia" w:ascii="宋体" w:hAnsi="宋体"/>
                <w:szCs w:val="21"/>
                <w:highlight w:val="none"/>
              </w:rPr>
              <w:t>资格审查</w:t>
            </w:r>
          </w:p>
        </w:tc>
        <w:tc>
          <w:tcPr>
            <w:tcW w:w="1397" w:type="dxa"/>
            <w:tcBorders>
              <w:top w:val="single" w:color="auto" w:sz="12" w:space="0"/>
            </w:tcBorders>
            <w:vAlign w:val="center"/>
          </w:tcPr>
          <w:p>
            <w:pPr>
              <w:jc w:val="center"/>
              <w:rPr>
                <w:rFonts w:ascii="宋体" w:hAnsi="宋体"/>
                <w:b/>
                <w:szCs w:val="21"/>
                <w:highlight w:val="none"/>
              </w:rPr>
            </w:pPr>
            <w:r>
              <w:rPr>
                <w:rFonts w:hint="eastAsia"/>
                <w:szCs w:val="21"/>
                <w:highlight w:val="none"/>
              </w:rPr>
              <w:t>营业执照</w:t>
            </w:r>
          </w:p>
        </w:tc>
        <w:tc>
          <w:tcPr>
            <w:tcW w:w="6265" w:type="dxa"/>
            <w:tcBorders>
              <w:top w:val="single" w:color="auto" w:sz="12" w:space="0"/>
            </w:tcBorders>
            <w:vAlign w:val="center"/>
          </w:tcPr>
          <w:p>
            <w:pPr>
              <w:jc w:val="left"/>
              <w:rPr>
                <w:rFonts w:ascii="宋体" w:hAnsi="宋体"/>
                <w:bCs/>
                <w:szCs w:val="21"/>
                <w:highlight w:val="none"/>
              </w:rPr>
            </w:pPr>
            <w:r>
              <w:rPr>
                <w:rFonts w:hint="eastAsia" w:ascii="宋体" w:hAnsi="宋体"/>
                <w:bCs/>
                <w:szCs w:val="21"/>
                <w:highlight w:val="none"/>
              </w:rPr>
              <w:t>具备有效的营业执照</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4" w:hRule="atLeast"/>
        </w:trPr>
        <w:tc>
          <w:tcPr>
            <w:tcW w:w="817" w:type="dxa"/>
            <w:vMerge w:val="continue"/>
            <w:vAlign w:val="center"/>
          </w:tcPr>
          <w:p>
            <w:pPr>
              <w:jc w:val="center"/>
              <w:rPr>
                <w:rFonts w:ascii="宋体" w:hAnsi="宋体"/>
                <w:b/>
                <w:szCs w:val="21"/>
                <w:highlight w:val="none"/>
              </w:rPr>
            </w:pPr>
          </w:p>
        </w:tc>
        <w:tc>
          <w:tcPr>
            <w:tcW w:w="817" w:type="dxa"/>
            <w:vMerge w:val="continue"/>
            <w:vAlign w:val="center"/>
          </w:tcPr>
          <w:p>
            <w:pPr>
              <w:jc w:val="center"/>
              <w:rPr>
                <w:rFonts w:ascii="宋体" w:hAnsi="宋体"/>
                <w:szCs w:val="21"/>
                <w:highlight w:val="none"/>
              </w:rPr>
            </w:pPr>
          </w:p>
        </w:tc>
        <w:tc>
          <w:tcPr>
            <w:tcW w:w="1397" w:type="dxa"/>
            <w:vMerge w:val="restart"/>
            <w:tcBorders>
              <w:top w:val="single" w:color="auto" w:sz="12" w:space="0"/>
            </w:tcBorders>
            <w:vAlign w:val="center"/>
          </w:tcPr>
          <w:p>
            <w:pPr>
              <w:jc w:val="center"/>
              <w:rPr>
                <w:szCs w:val="21"/>
                <w:highlight w:val="none"/>
              </w:rPr>
            </w:pPr>
            <w:r>
              <w:rPr>
                <w:rFonts w:hint="eastAsia"/>
                <w:szCs w:val="21"/>
                <w:highlight w:val="none"/>
              </w:rPr>
              <w:t>信誉</w:t>
            </w:r>
          </w:p>
        </w:tc>
        <w:tc>
          <w:tcPr>
            <w:tcW w:w="6265" w:type="dxa"/>
            <w:vAlign w:val="center"/>
          </w:tcPr>
          <w:p>
            <w:pPr>
              <w:jc w:val="left"/>
              <w:rPr>
                <w:rFonts w:ascii="宋体" w:hAnsi="宋体"/>
                <w:b/>
                <w:szCs w:val="21"/>
                <w:highlight w:val="none"/>
              </w:rPr>
            </w:pPr>
            <w:r>
              <w:rPr>
                <w:rFonts w:hint="eastAsia" w:ascii="宋体" w:hAnsi="宋体"/>
                <w:bCs/>
                <w:szCs w:val="21"/>
                <w:highlight w:val="none"/>
              </w:rPr>
              <w:t>供应商参加政府采购活动前</w:t>
            </w:r>
            <w:r>
              <w:rPr>
                <w:rFonts w:ascii="宋体" w:hAnsi="宋体"/>
                <w:bCs/>
                <w:szCs w:val="21"/>
                <w:highlight w:val="none"/>
              </w:rPr>
              <w:t>3</w:t>
            </w:r>
            <w:r>
              <w:rPr>
                <w:rFonts w:hint="eastAsia" w:ascii="宋体" w:hAnsi="宋体"/>
                <w:bCs/>
                <w:szCs w:val="21"/>
                <w:highlight w:val="none"/>
              </w:rPr>
              <w:t>年内在经营活动中没有重大违法记录的书面声明，须提供书面声明并加盖公章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4" w:hRule="atLeast"/>
        </w:trPr>
        <w:tc>
          <w:tcPr>
            <w:tcW w:w="817" w:type="dxa"/>
            <w:vMerge w:val="continue"/>
            <w:vAlign w:val="center"/>
          </w:tcPr>
          <w:p>
            <w:pPr>
              <w:jc w:val="center"/>
              <w:rPr>
                <w:rFonts w:ascii="宋体" w:hAnsi="宋体"/>
                <w:b/>
                <w:szCs w:val="21"/>
                <w:highlight w:val="none"/>
              </w:rPr>
            </w:pPr>
          </w:p>
        </w:tc>
        <w:tc>
          <w:tcPr>
            <w:tcW w:w="817" w:type="dxa"/>
            <w:vMerge w:val="continue"/>
            <w:vAlign w:val="center"/>
          </w:tcPr>
          <w:p>
            <w:pPr>
              <w:jc w:val="center"/>
              <w:rPr>
                <w:rFonts w:ascii="宋体" w:hAnsi="宋体"/>
                <w:szCs w:val="21"/>
                <w:highlight w:val="none"/>
              </w:rPr>
            </w:pPr>
          </w:p>
        </w:tc>
        <w:tc>
          <w:tcPr>
            <w:tcW w:w="1397" w:type="dxa"/>
            <w:vMerge w:val="continue"/>
            <w:vAlign w:val="center"/>
          </w:tcPr>
          <w:p>
            <w:pPr>
              <w:jc w:val="center"/>
              <w:rPr>
                <w:rFonts w:ascii="宋体" w:hAnsi="宋体"/>
                <w:b/>
                <w:szCs w:val="21"/>
                <w:highlight w:val="none"/>
              </w:rPr>
            </w:pPr>
          </w:p>
        </w:tc>
        <w:tc>
          <w:tcPr>
            <w:tcW w:w="6265" w:type="dxa"/>
            <w:vAlign w:val="center"/>
          </w:tcPr>
          <w:p>
            <w:pPr>
              <w:jc w:val="left"/>
              <w:rPr>
                <w:rFonts w:ascii="宋体" w:hAnsi="宋体"/>
                <w:b/>
                <w:szCs w:val="21"/>
                <w:highlight w:val="none"/>
              </w:rPr>
            </w:pPr>
            <w:r>
              <w:rPr>
                <w:rFonts w:hint="eastAsia" w:ascii="宋体" w:hAnsi="宋体"/>
                <w:bCs/>
                <w:szCs w:val="21"/>
                <w:highlight w:val="none"/>
              </w:rPr>
              <w:t>供应商在投标截止时间前未被列入“信用中国”网站（www.creditchina.gov.cn）失信被执行人、重大税收违法案件当事人名单、政府采购严重违法失信行为记录名单，须提供查询结果网页截图和承诺函。若为失信企业，将取消中标资格。</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8" w:hRule="atLeast"/>
        </w:trPr>
        <w:tc>
          <w:tcPr>
            <w:tcW w:w="817" w:type="dxa"/>
            <w:vMerge w:val="continue"/>
            <w:vAlign w:val="center"/>
          </w:tcPr>
          <w:p>
            <w:pPr>
              <w:jc w:val="center"/>
              <w:rPr>
                <w:rFonts w:ascii="宋体" w:hAnsi="宋体"/>
                <w:b/>
                <w:szCs w:val="21"/>
                <w:highlight w:val="none"/>
              </w:rPr>
            </w:pPr>
          </w:p>
        </w:tc>
        <w:tc>
          <w:tcPr>
            <w:tcW w:w="817" w:type="dxa"/>
            <w:vMerge w:val="continue"/>
            <w:vAlign w:val="center"/>
          </w:tcPr>
          <w:p>
            <w:pPr>
              <w:jc w:val="center"/>
              <w:rPr>
                <w:rFonts w:ascii="宋体" w:hAnsi="宋体"/>
                <w:szCs w:val="21"/>
                <w:highlight w:val="none"/>
              </w:rPr>
            </w:pPr>
          </w:p>
        </w:tc>
        <w:tc>
          <w:tcPr>
            <w:tcW w:w="1397" w:type="dxa"/>
            <w:tcBorders>
              <w:top w:val="single" w:color="auto" w:sz="12" w:space="0"/>
            </w:tcBorders>
            <w:vAlign w:val="center"/>
          </w:tcPr>
          <w:p>
            <w:pPr>
              <w:jc w:val="center"/>
              <w:rPr>
                <w:rFonts w:ascii="宋体" w:hAnsi="宋体"/>
                <w:b/>
                <w:szCs w:val="21"/>
                <w:highlight w:val="none"/>
              </w:rPr>
            </w:pPr>
            <w:r>
              <w:rPr>
                <w:rFonts w:hint="eastAsia" w:ascii="宋体" w:hAnsi="宋体"/>
                <w:bCs/>
                <w:szCs w:val="21"/>
                <w:highlight w:val="none"/>
              </w:rPr>
              <w:t>谈判保证金</w:t>
            </w:r>
          </w:p>
        </w:tc>
        <w:tc>
          <w:tcPr>
            <w:tcW w:w="6265" w:type="dxa"/>
            <w:vAlign w:val="center"/>
          </w:tcPr>
          <w:p>
            <w:pPr>
              <w:jc w:val="left"/>
              <w:rPr>
                <w:rFonts w:ascii="宋体" w:hAnsi="宋体"/>
                <w:bCs/>
                <w:szCs w:val="21"/>
                <w:highlight w:val="none"/>
              </w:rPr>
            </w:pPr>
            <w:r>
              <w:rPr>
                <w:rFonts w:hint="eastAsia" w:ascii="宋体" w:hAnsi="宋体"/>
                <w:bCs/>
                <w:szCs w:val="21"/>
                <w:highlight w:val="none"/>
              </w:rPr>
              <w:t>足额缴纳</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29" w:hRule="atLeast"/>
        </w:trPr>
        <w:tc>
          <w:tcPr>
            <w:tcW w:w="817" w:type="dxa"/>
            <w:vMerge w:val="restart"/>
            <w:vAlign w:val="center"/>
          </w:tcPr>
          <w:p>
            <w:pPr>
              <w:jc w:val="center"/>
              <w:rPr>
                <w:rFonts w:ascii="宋体" w:hAnsi="宋体"/>
                <w:szCs w:val="21"/>
                <w:highlight w:val="none"/>
              </w:rPr>
            </w:pPr>
            <w:r>
              <w:rPr>
                <w:rFonts w:hint="eastAsia" w:ascii="宋体" w:hAnsi="宋体"/>
                <w:szCs w:val="21"/>
                <w:highlight w:val="none"/>
              </w:rPr>
              <w:t>2</w:t>
            </w:r>
          </w:p>
        </w:tc>
        <w:tc>
          <w:tcPr>
            <w:tcW w:w="817" w:type="dxa"/>
            <w:vMerge w:val="restart"/>
            <w:vAlign w:val="center"/>
          </w:tcPr>
          <w:p>
            <w:pPr>
              <w:jc w:val="center"/>
              <w:rPr>
                <w:rFonts w:ascii="宋体"/>
                <w:szCs w:val="21"/>
                <w:highlight w:val="none"/>
              </w:rPr>
            </w:pPr>
            <w:r>
              <w:rPr>
                <w:rFonts w:hint="eastAsia" w:ascii="宋体" w:hAnsi="宋体"/>
                <w:szCs w:val="21"/>
                <w:highlight w:val="none"/>
              </w:rPr>
              <w:t>符合</w:t>
            </w:r>
          </w:p>
          <w:p>
            <w:pPr>
              <w:jc w:val="center"/>
              <w:rPr>
                <w:rFonts w:ascii="宋体"/>
                <w:szCs w:val="21"/>
                <w:highlight w:val="none"/>
              </w:rPr>
            </w:pPr>
            <w:r>
              <w:rPr>
                <w:rFonts w:hint="eastAsia" w:ascii="宋体" w:hAnsi="宋体"/>
                <w:szCs w:val="21"/>
                <w:highlight w:val="none"/>
              </w:rPr>
              <w:t>性审查</w:t>
            </w:r>
          </w:p>
          <w:p>
            <w:pPr>
              <w:jc w:val="center"/>
              <w:rPr>
                <w:rFonts w:ascii="宋体"/>
                <w:szCs w:val="21"/>
                <w:highlight w:val="none"/>
              </w:rPr>
            </w:pPr>
          </w:p>
        </w:tc>
        <w:tc>
          <w:tcPr>
            <w:tcW w:w="1397" w:type="dxa"/>
            <w:vAlign w:val="center"/>
          </w:tcPr>
          <w:p>
            <w:pPr>
              <w:jc w:val="center"/>
              <w:rPr>
                <w:rFonts w:ascii="宋体"/>
                <w:szCs w:val="21"/>
                <w:highlight w:val="none"/>
              </w:rPr>
            </w:pPr>
            <w:r>
              <w:rPr>
                <w:rFonts w:hint="eastAsia" w:ascii="宋体" w:hAnsi="宋体"/>
                <w:szCs w:val="21"/>
                <w:highlight w:val="none"/>
              </w:rPr>
              <w:t>响应文件格式</w:t>
            </w:r>
          </w:p>
        </w:tc>
        <w:tc>
          <w:tcPr>
            <w:tcW w:w="6265" w:type="dxa"/>
            <w:vAlign w:val="center"/>
          </w:tcPr>
          <w:p>
            <w:pPr>
              <w:rPr>
                <w:rFonts w:ascii="宋体"/>
                <w:szCs w:val="21"/>
                <w:highlight w:val="none"/>
              </w:rPr>
            </w:pPr>
            <w:r>
              <w:rPr>
                <w:rFonts w:hint="eastAsia" w:ascii="宋体" w:hAnsi="宋体"/>
                <w:szCs w:val="21"/>
                <w:highlight w:val="none"/>
              </w:rPr>
              <w:t>响应文件按谈判文件格式及内容要求签署、盖章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29" w:hRule="atLeast"/>
        </w:trPr>
        <w:tc>
          <w:tcPr>
            <w:tcW w:w="817" w:type="dxa"/>
            <w:vMerge w:val="continue"/>
            <w:vAlign w:val="center"/>
          </w:tcPr>
          <w:p>
            <w:pPr>
              <w:rPr>
                <w:rFonts w:ascii="宋体"/>
                <w:highlight w:val="none"/>
              </w:rPr>
            </w:pPr>
          </w:p>
        </w:tc>
        <w:tc>
          <w:tcPr>
            <w:tcW w:w="817" w:type="dxa"/>
            <w:vMerge w:val="continue"/>
            <w:vAlign w:val="center"/>
          </w:tcPr>
          <w:p>
            <w:pPr>
              <w:rPr>
                <w:rFonts w:ascii="宋体"/>
                <w:highlight w:val="none"/>
              </w:rPr>
            </w:pPr>
          </w:p>
        </w:tc>
        <w:tc>
          <w:tcPr>
            <w:tcW w:w="1397" w:type="dxa"/>
            <w:vAlign w:val="center"/>
          </w:tcPr>
          <w:p>
            <w:pPr>
              <w:jc w:val="center"/>
              <w:rPr>
                <w:rFonts w:ascii="宋体"/>
                <w:highlight w:val="none"/>
              </w:rPr>
            </w:pPr>
            <w:r>
              <w:rPr>
                <w:rFonts w:hint="eastAsia" w:ascii="宋体" w:hAnsi="宋体"/>
                <w:highlight w:val="none"/>
              </w:rPr>
              <w:t>投标函</w:t>
            </w:r>
          </w:p>
        </w:tc>
        <w:tc>
          <w:tcPr>
            <w:tcW w:w="6265" w:type="dxa"/>
            <w:vAlign w:val="center"/>
          </w:tcPr>
          <w:p>
            <w:pPr>
              <w:rPr>
                <w:rFonts w:ascii="宋体"/>
                <w:highlight w:val="none"/>
              </w:rPr>
            </w:pPr>
            <w:r>
              <w:rPr>
                <w:rFonts w:hint="eastAsia" w:ascii="宋体" w:hAnsi="宋体"/>
                <w:highlight w:val="none"/>
              </w:rPr>
              <w:t>有法定代表人签名或盖章，并加盖单位公章；符合谈判文件给定格式及内容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36" w:hRule="atLeast"/>
        </w:trPr>
        <w:tc>
          <w:tcPr>
            <w:tcW w:w="817" w:type="dxa"/>
            <w:vMerge w:val="continue"/>
            <w:vAlign w:val="center"/>
          </w:tcPr>
          <w:p>
            <w:pPr>
              <w:rPr>
                <w:rFonts w:ascii="宋体"/>
                <w:highlight w:val="none"/>
              </w:rPr>
            </w:pPr>
          </w:p>
        </w:tc>
        <w:tc>
          <w:tcPr>
            <w:tcW w:w="817" w:type="dxa"/>
            <w:vMerge w:val="continue"/>
            <w:vAlign w:val="center"/>
          </w:tcPr>
          <w:p>
            <w:pPr>
              <w:rPr>
                <w:rFonts w:ascii="宋体"/>
                <w:highlight w:val="none"/>
              </w:rPr>
            </w:pPr>
          </w:p>
        </w:tc>
        <w:tc>
          <w:tcPr>
            <w:tcW w:w="1397" w:type="dxa"/>
            <w:vAlign w:val="center"/>
          </w:tcPr>
          <w:p>
            <w:pPr>
              <w:jc w:val="center"/>
              <w:rPr>
                <w:rFonts w:ascii="宋体"/>
                <w:highlight w:val="none"/>
              </w:rPr>
            </w:pPr>
            <w:r>
              <w:rPr>
                <w:rFonts w:hint="eastAsia" w:ascii="宋体" w:hAnsi="宋体"/>
                <w:highlight w:val="none"/>
              </w:rPr>
              <w:t>法定代表人资格证明书</w:t>
            </w:r>
          </w:p>
        </w:tc>
        <w:tc>
          <w:tcPr>
            <w:tcW w:w="6265" w:type="dxa"/>
            <w:vAlign w:val="center"/>
          </w:tcPr>
          <w:p>
            <w:pPr>
              <w:rPr>
                <w:rFonts w:ascii="宋体" w:hAnsi="宋体"/>
                <w:highlight w:val="none"/>
              </w:rPr>
            </w:pPr>
            <w:r>
              <w:rPr>
                <w:rFonts w:hint="eastAsia" w:ascii="宋体" w:hAnsi="宋体"/>
                <w:highlight w:val="none"/>
              </w:rPr>
              <w:t>符合谈判文件给定格式及内容</w:t>
            </w:r>
            <w:r>
              <w:rPr>
                <w:rFonts w:ascii="宋体"/>
                <w:highlight w:val="none"/>
              </w:rPr>
              <w:t>,</w:t>
            </w:r>
            <w:r>
              <w:rPr>
                <w:rFonts w:hint="eastAsia" w:ascii="宋体" w:hAnsi="宋体"/>
                <w:highlight w:val="none"/>
              </w:rPr>
              <w:t>并加盖单位公章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29" w:hRule="atLeast"/>
        </w:trPr>
        <w:tc>
          <w:tcPr>
            <w:tcW w:w="817" w:type="dxa"/>
            <w:vMerge w:val="continue"/>
            <w:vAlign w:val="center"/>
          </w:tcPr>
          <w:p>
            <w:pPr>
              <w:rPr>
                <w:rFonts w:ascii="宋体"/>
                <w:highlight w:val="none"/>
              </w:rPr>
            </w:pPr>
          </w:p>
        </w:tc>
        <w:tc>
          <w:tcPr>
            <w:tcW w:w="817" w:type="dxa"/>
            <w:vMerge w:val="continue"/>
            <w:vAlign w:val="center"/>
          </w:tcPr>
          <w:p>
            <w:pPr>
              <w:rPr>
                <w:rFonts w:ascii="宋体"/>
                <w:highlight w:val="none"/>
              </w:rPr>
            </w:pPr>
          </w:p>
        </w:tc>
        <w:tc>
          <w:tcPr>
            <w:tcW w:w="1397" w:type="dxa"/>
            <w:vMerge w:val="restart"/>
            <w:vAlign w:val="center"/>
          </w:tcPr>
          <w:p>
            <w:pPr>
              <w:jc w:val="center"/>
              <w:rPr>
                <w:rFonts w:ascii="宋体"/>
                <w:highlight w:val="none"/>
              </w:rPr>
            </w:pPr>
            <w:r>
              <w:rPr>
                <w:rFonts w:hint="eastAsia" w:ascii="宋体" w:hAnsi="宋体"/>
                <w:highlight w:val="none"/>
              </w:rPr>
              <w:t>法定代表人授权委托书</w:t>
            </w:r>
          </w:p>
        </w:tc>
        <w:tc>
          <w:tcPr>
            <w:tcW w:w="6265" w:type="dxa"/>
            <w:vAlign w:val="center"/>
          </w:tcPr>
          <w:p>
            <w:pPr>
              <w:rPr>
                <w:rFonts w:ascii="宋体" w:hAnsi="宋体"/>
                <w:highlight w:val="none"/>
              </w:rPr>
            </w:pPr>
            <w:r>
              <w:rPr>
                <w:rFonts w:hint="eastAsia" w:ascii="宋体" w:hAnsi="宋体"/>
                <w:highlight w:val="none"/>
              </w:rPr>
              <w:t>有法定代表人签名或盖章，并加盖单位公章；符合谈判文件给定格式及内容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14" w:hRule="atLeast"/>
        </w:trPr>
        <w:tc>
          <w:tcPr>
            <w:tcW w:w="817" w:type="dxa"/>
            <w:vMerge w:val="continue"/>
            <w:vAlign w:val="center"/>
          </w:tcPr>
          <w:p>
            <w:pPr>
              <w:rPr>
                <w:rFonts w:ascii="宋体"/>
                <w:highlight w:val="none"/>
              </w:rPr>
            </w:pPr>
          </w:p>
        </w:tc>
        <w:tc>
          <w:tcPr>
            <w:tcW w:w="817" w:type="dxa"/>
            <w:vMerge w:val="continue"/>
            <w:vAlign w:val="center"/>
          </w:tcPr>
          <w:p>
            <w:pPr>
              <w:rPr>
                <w:rFonts w:ascii="宋体"/>
                <w:highlight w:val="none"/>
              </w:rPr>
            </w:pPr>
          </w:p>
        </w:tc>
        <w:tc>
          <w:tcPr>
            <w:tcW w:w="1397" w:type="dxa"/>
            <w:vMerge w:val="continue"/>
            <w:vAlign w:val="center"/>
          </w:tcPr>
          <w:p>
            <w:pPr>
              <w:jc w:val="center"/>
              <w:rPr>
                <w:rFonts w:ascii="宋体"/>
                <w:highlight w:val="none"/>
              </w:rPr>
            </w:pPr>
          </w:p>
        </w:tc>
        <w:tc>
          <w:tcPr>
            <w:tcW w:w="6265" w:type="dxa"/>
            <w:vAlign w:val="center"/>
          </w:tcPr>
          <w:p>
            <w:pPr>
              <w:rPr>
                <w:rFonts w:ascii="宋体"/>
                <w:highlight w:val="none"/>
              </w:rPr>
            </w:pPr>
            <w:r>
              <w:rPr>
                <w:rFonts w:hint="eastAsia" w:ascii="宋体" w:hAnsi="宋体"/>
                <w:highlight w:val="none"/>
              </w:rPr>
              <w:t>注：响应文件（包括评审过程中的澄清、说明或者补正）由法定代表人签署的，不审查该项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89" w:hRule="atLeast"/>
        </w:trPr>
        <w:tc>
          <w:tcPr>
            <w:tcW w:w="817" w:type="dxa"/>
            <w:vMerge w:val="continue"/>
            <w:vAlign w:val="center"/>
          </w:tcPr>
          <w:p>
            <w:pPr>
              <w:rPr>
                <w:rFonts w:ascii="宋体"/>
                <w:highlight w:val="none"/>
              </w:rPr>
            </w:pPr>
          </w:p>
        </w:tc>
        <w:tc>
          <w:tcPr>
            <w:tcW w:w="817" w:type="dxa"/>
            <w:vMerge w:val="continue"/>
            <w:vAlign w:val="center"/>
          </w:tcPr>
          <w:p>
            <w:pPr>
              <w:rPr>
                <w:rFonts w:ascii="宋体"/>
                <w:highlight w:val="none"/>
              </w:rPr>
            </w:pPr>
          </w:p>
        </w:tc>
        <w:tc>
          <w:tcPr>
            <w:tcW w:w="1397" w:type="dxa"/>
            <w:vAlign w:val="center"/>
          </w:tcPr>
          <w:p>
            <w:pPr>
              <w:jc w:val="center"/>
              <w:rPr>
                <w:rFonts w:ascii="宋体"/>
                <w:highlight w:val="none"/>
              </w:rPr>
            </w:pPr>
            <w:r>
              <w:rPr>
                <w:rFonts w:hint="eastAsia" w:ascii="宋体" w:hAnsi="宋体"/>
                <w:szCs w:val="21"/>
                <w:highlight w:val="none"/>
              </w:rPr>
              <w:t>投标报价</w:t>
            </w:r>
          </w:p>
        </w:tc>
        <w:tc>
          <w:tcPr>
            <w:tcW w:w="6265" w:type="dxa"/>
            <w:vAlign w:val="center"/>
          </w:tcPr>
          <w:p>
            <w:pPr>
              <w:rPr>
                <w:rFonts w:ascii="宋体"/>
                <w:highlight w:val="none"/>
              </w:rPr>
            </w:pPr>
            <w:r>
              <w:rPr>
                <w:rFonts w:hint="eastAsia" w:ascii="宋体" w:hAnsi="宋体"/>
                <w:highlight w:val="none"/>
              </w:rPr>
              <w:t>报价唯一</w:t>
            </w:r>
            <w:r>
              <w:rPr>
                <w:rFonts w:hint="eastAsia" w:ascii="宋体" w:hAnsi="宋体"/>
                <w:szCs w:val="21"/>
                <w:highlight w:val="none"/>
              </w:rPr>
              <w:t>且不得高于采购预算</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79" w:hRule="atLeast"/>
        </w:trPr>
        <w:tc>
          <w:tcPr>
            <w:tcW w:w="817" w:type="dxa"/>
            <w:vMerge w:val="continue"/>
            <w:vAlign w:val="center"/>
          </w:tcPr>
          <w:p>
            <w:pPr>
              <w:rPr>
                <w:rFonts w:ascii="宋体"/>
                <w:highlight w:val="none"/>
              </w:rPr>
            </w:pPr>
          </w:p>
        </w:tc>
        <w:tc>
          <w:tcPr>
            <w:tcW w:w="817" w:type="dxa"/>
            <w:vMerge w:val="continue"/>
            <w:vAlign w:val="center"/>
          </w:tcPr>
          <w:p>
            <w:pPr>
              <w:rPr>
                <w:rFonts w:ascii="宋体"/>
                <w:highlight w:val="none"/>
              </w:rPr>
            </w:pPr>
          </w:p>
        </w:tc>
        <w:tc>
          <w:tcPr>
            <w:tcW w:w="1397" w:type="dxa"/>
            <w:vAlign w:val="center"/>
          </w:tcPr>
          <w:p>
            <w:pPr>
              <w:jc w:val="center"/>
              <w:rPr>
                <w:rFonts w:ascii="宋体"/>
                <w:szCs w:val="21"/>
                <w:highlight w:val="none"/>
              </w:rPr>
            </w:pPr>
            <w:r>
              <w:rPr>
                <w:rFonts w:hint="eastAsia" w:ascii="宋体" w:hAnsi="宋体"/>
                <w:szCs w:val="21"/>
                <w:highlight w:val="none"/>
              </w:rPr>
              <w:t>实质性响应文件内容</w:t>
            </w:r>
          </w:p>
        </w:tc>
        <w:tc>
          <w:tcPr>
            <w:tcW w:w="6265" w:type="dxa"/>
            <w:vAlign w:val="center"/>
          </w:tcPr>
          <w:p>
            <w:pPr>
              <w:rPr>
                <w:rFonts w:ascii="宋体"/>
                <w:highlight w:val="none"/>
              </w:rPr>
            </w:pPr>
            <w:r>
              <w:rPr>
                <w:rFonts w:hint="eastAsia" w:ascii="宋体" w:hAnsi="宋体"/>
                <w:highlight w:val="none"/>
              </w:rPr>
              <w:t>实质性响应谈判文件商务及技术要求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4" w:hRule="atLeast"/>
        </w:trPr>
        <w:tc>
          <w:tcPr>
            <w:tcW w:w="817" w:type="dxa"/>
            <w:vMerge w:val="continue"/>
            <w:vAlign w:val="center"/>
          </w:tcPr>
          <w:p>
            <w:pPr>
              <w:rPr>
                <w:rFonts w:ascii="宋体"/>
                <w:highlight w:val="none"/>
              </w:rPr>
            </w:pPr>
          </w:p>
        </w:tc>
        <w:tc>
          <w:tcPr>
            <w:tcW w:w="817" w:type="dxa"/>
            <w:vMerge w:val="continue"/>
            <w:vAlign w:val="center"/>
          </w:tcPr>
          <w:p>
            <w:pPr>
              <w:rPr>
                <w:rFonts w:ascii="宋体"/>
                <w:highlight w:val="none"/>
              </w:rPr>
            </w:pPr>
          </w:p>
        </w:tc>
        <w:tc>
          <w:tcPr>
            <w:tcW w:w="1397" w:type="dxa"/>
            <w:vAlign w:val="center"/>
          </w:tcPr>
          <w:p>
            <w:pPr>
              <w:jc w:val="center"/>
              <w:rPr>
                <w:rFonts w:ascii="宋体"/>
                <w:szCs w:val="21"/>
                <w:highlight w:val="none"/>
              </w:rPr>
            </w:pPr>
            <w:r>
              <w:rPr>
                <w:rFonts w:hint="eastAsia" w:ascii="宋体" w:hAnsi="宋体"/>
                <w:szCs w:val="21"/>
                <w:highlight w:val="none"/>
              </w:rPr>
              <w:t>投标有效期</w:t>
            </w:r>
          </w:p>
        </w:tc>
        <w:tc>
          <w:tcPr>
            <w:tcW w:w="6265" w:type="dxa"/>
            <w:vAlign w:val="center"/>
          </w:tcPr>
          <w:p>
            <w:pPr>
              <w:rPr>
                <w:rFonts w:ascii="宋体"/>
                <w:szCs w:val="21"/>
                <w:highlight w:val="none"/>
              </w:rPr>
            </w:pPr>
            <w:r>
              <w:rPr>
                <w:rFonts w:hint="eastAsia" w:ascii="宋体" w:hAnsi="宋体"/>
                <w:szCs w:val="21"/>
                <w:highlight w:val="none"/>
              </w:rPr>
              <w:t>符合第二章“供应商须知”相关规定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trPr>
        <w:tc>
          <w:tcPr>
            <w:tcW w:w="817" w:type="dxa"/>
            <w:vMerge w:val="continue"/>
            <w:vAlign w:val="center"/>
          </w:tcPr>
          <w:p>
            <w:pPr>
              <w:rPr>
                <w:rFonts w:ascii="宋体"/>
                <w:highlight w:val="none"/>
              </w:rPr>
            </w:pPr>
          </w:p>
        </w:tc>
        <w:tc>
          <w:tcPr>
            <w:tcW w:w="817" w:type="dxa"/>
            <w:vMerge w:val="continue"/>
            <w:vAlign w:val="center"/>
          </w:tcPr>
          <w:p>
            <w:pPr>
              <w:rPr>
                <w:rFonts w:ascii="宋体"/>
                <w:highlight w:val="none"/>
              </w:rPr>
            </w:pPr>
          </w:p>
        </w:tc>
        <w:tc>
          <w:tcPr>
            <w:tcW w:w="1397" w:type="dxa"/>
            <w:vAlign w:val="center"/>
          </w:tcPr>
          <w:p>
            <w:pPr>
              <w:jc w:val="center"/>
              <w:rPr>
                <w:rFonts w:ascii="宋体"/>
                <w:szCs w:val="21"/>
                <w:highlight w:val="none"/>
              </w:rPr>
            </w:pPr>
            <w:r>
              <w:rPr>
                <w:rFonts w:hint="eastAsia" w:ascii="宋体" w:hAnsi="宋体"/>
                <w:szCs w:val="21"/>
                <w:highlight w:val="none"/>
              </w:rPr>
              <w:t>投标是否有效</w:t>
            </w:r>
          </w:p>
        </w:tc>
        <w:tc>
          <w:tcPr>
            <w:tcW w:w="6265" w:type="dxa"/>
            <w:vAlign w:val="center"/>
          </w:tcPr>
          <w:p>
            <w:pPr>
              <w:rPr>
                <w:rFonts w:ascii="宋体"/>
                <w:szCs w:val="21"/>
                <w:highlight w:val="none"/>
              </w:rPr>
            </w:pPr>
            <w:r>
              <w:rPr>
                <w:rFonts w:hint="eastAsia" w:ascii="宋体" w:hAnsi="宋体"/>
                <w:szCs w:val="21"/>
                <w:highlight w:val="none"/>
              </w:rPr>
              <w:t>无谈判文件规定的其他投标无效情形</w:t>
            </w:r>
          </w:p>
        </w:tc>
      </w:tr>
      <w:bookmarkEnd w:id="234"/>
      <w:bookmarkEnd w:id="235"/>
    </w:tbl>
    <w:p>
      <w:pPr>
        <w:tabs>
          <w:tab w:val="left" w:pos="817"/>
          <w:tab w:val="left" w:pos="1634"/>
          <w:tab w:val="left" w:pos="4073"/>
        </w:tabs>
        <w:ind w:right="840"/>
        <w:rPr>
          <w:rFonts w:ascii="宋体"/>
          <w:highlight w:val="none"/>
        </w:rPr>
      </w:pPr>
    </w:p>
    <w:p>
      <w:pPr>
        <w:rPr>
          <w:rFonts w:hint="eastAsia" w:ascii="宋体" w:hAnsi="宋体"/>
          <w:sz w:val="24"/>
          <w:highlight w:val="none"/>
        </w:rPr>
      </w:pPr>
      <w:bookmarkStart w:id="236" w:name="_Toc9044"/>
      <w:bookmarkStart w:id="237" w:name="_Toc19784_WPSOffice_Level2"/>
      <w:bookmarkStart w:id="238" w:name="_Toc11788_WPSOffice_Level3"/>
      <w:bookmarkStart w:id="239" w:name="_Toc468805876"/>
      <w:r>
        <w:rPr>
          <w:rFonts w:hint="eastAsia" w:ascii="宋体" w:hAnsi="宋体"/>
          <w:sz w:val="24"/>
          <w:highlight w:val="none"/>
        </w:rPr>
        <w:t xml:space="preserve">   </w:t>
      </w:r>
    </w:p>
    <w:p>
      <w:pPr>
        <w:rPr>
          <w:rFonts w:ascii="宋体" w:hAnsi="宋体"/>
          <w:highlight w:val="none"/>
        </w:rPr>
      </w:pPr>
      <w:r>
        <w:rPr>
          <w:rFonts w:hint="eastAsia" w:ascii="宋体" w:hAnsi="宋体"/>
          <w:sz w:val="24"/>
          <w:highlight w:val="none"/>
        </w:rPr>
        <w:t xml:space="preserve"> </w:t>
      </w:r>
      <w:r>
        <w:rPr>
          <w:rFonts w:ascii="宋体" w:hAnsi="宋体"/>
          <w:sz w:val="24"/>
          <w:highlight w:val="none"/>
        </w:rPr>
        <w:t xml:space="preserve">1. </w:t>
      </w:r>
      <w:r>
        <w:rPr>
          <w:rFonts w:hint="eastAsia" w:ascii="宋体" w:hAnsi="宋体"/>
          <w:sz w:val="24"/>
          <w:highlight w:val="none"/>
        </w:rPr>
        <w:t>评审方法</w:t>
      </w:r>
      <w:bookmarkEnd w:id="236"/>
      <w:bookmarkEnd w:id="237"/>
      <w:bookmarkEnd w:id="238"/>
      <w:bookmarkEnd w:id="239"/>
    </w:p>
    <w:p>
      <w:pPr>
        <w:spacing w:line="460" w:lineRule="exact"/>
        <w:ind w:firstLine="480" w:firstLineChars="200"/>
        <w:rPr>
          <w:rFonts w:ascii="宋体" w:hAnsi="宋体"/>
          <w:sz w:val="24"/>
          <w:highlight w:val="none"/>
        </w:rPr>
      </w:pPr>
      <w:r>
        <w:rPr>
          <w:rFonts w:hint="eastAsia" w:ascii="宋体" w:hAnsi="宋体"/>
          <w:sz w:val="24"/>
          <w:highlight w:val="none"/>
        </w:rPr>
        <w:t>本次评审采用最低评标价法。谈判小组对通过资格审查、符合性审查的响应文件，从质量和服务均能满足谈判文件实质性响应要求的供应商中，按照最后报价由低到高的顺序推荐成交候选人。</w:t>
      </w:r>
    </w:p>
    <w:p>
      <w:pPr>
        <w:spacing w:line="460" w:lineRule="exact"/>
        <w:ind w:firstLine="480" w:firstLineChars="200"/>
        <w:rPr>
          <w:rFonts w:ascii="宋体" w:hAnsi="宋体"/>
          <w:sz w:val="24"/>
          <w:highlight w:val="none"/>
        </w:rPr>
      </w:pPr>
      <w:bookmarkStart w:id="240" w:name="_Toc468805877"/>
      <w:bookmarkStart w:id="241" w:name="_Toc27224_WPSOffice_Level2"/>
      <w:bookmarkStart w:id="242" w:name="_Toc14379"/>
      <w:bookmarkStart w:id="243" w:name="_Toc29700_WPSOffice_Level3"/>
      <w:r>
        <w:rPr>
          <w:rFonts w:ascii="宋体" w:hAnsi="宋体"/>
          <w:sz w:val="24"/>
          <w:highlight w:val="none"/>
        </w:rPr>
        <w:t xml:space="preserve">2. </w:t>
      </w:r>
      <w:r>
        <w:rPr>
          <w:rFonts w:hint="eastAsia" w:ascii="宋体" w:hAnsi="宋体"/>
          <w:sz w:val="24"/>
          <w:highlight w:val="none"/>
        </w:rPr>
        <w:t>评审标准</w:t>
      </w:r>
      <w:bookmarkEnd w:id="240"/>
      <w:bookmarkEnd w:id="241"/>
      <w:bookmarkEnd w:id="242"/>
      <w:bookmarkEnd w:id="243"/>
    </w:p>
    <w:p>
      <w:pPr>
        <w:spacing w:line="460" w:lineRule="exact"/>
        <w:ind w:firstLine="420" w:firstLineChars="200"/>
        <w:rPr>
          <w:rFonts w:ascii="宋体" w:hAnsi="宋体"/>
          <w:sz w:val="24"/>
          <w:highlight w:val="none"/>
        </w:rPr>
      </w:pPr>
      <w:r>
        <w:rPr>
          <w:rFonts w:hint="eastAsia" w:ascii="宋体" w:hAnsi="宋体"/>
          <w:highlight w:val="none"/>
        </w:rPr>
        <w:t xml:space="preserve">  </w:t>
      </w:r>
      <w:r>
        <w:rPr>
          <w:rFonts w:ascii="宋体" w:hAnsi="宋体"/>
          <w:sz w:val="24"/>
          <w:highlight w:val="none"/>
        </w:rPr>
        <w:t>2.1</w:t>
      </w:r>
      <w:r>
        <w:rPr>
          <w:rFonts w:hint="eastAsia" w:ascii="宋体" w:hAnsi="宋体"/>
          <w:sz w:val="24"/>
          <w:highlight w:val="none"/>
        </w:rPr>
        <w:t>资格审查标准</w:t>
      </w:r>
    </w:p>
    <w:p>
      <w:pPr>
        <w:spacing w:line="460" w:lineRule="exact"/>
        <w:ind w:firstLine="480" w:firstLineChars="200"/>
        <w:rPr>
          <w:rFonts w:ascii="宋体" w:hAnsi="宋体"/>
          <w:sz w:val="24"/>
          <w:highlight w:val="none"/>
        </w:rPr>
      </w:pPr>
      <w:r>
        <w:rPr>
          <w:rFonts w:hint="eastAsia" w:ascii="宋体" w:hAnsi="宋体"/>
          <w:sz w:val="24"/>
          <w:highlight w:val="none"/>
        </w:rPr>
        <w:t>资格审查标准：依据法律法规和谈判文件的规定，对响应文件中的资格条件以及证明文件、谈判保证金等进行审查，以确定供应商是否具备投标资格；见评审办法前附表。</w:t>
      </w:r>
    </w:p>
    <w:p>
      <w:pPr>
        <w:spacing w:line="460" w:lineRule="exact"/>
        <w:ind w:firstLine="480" w:firstLineChars="200"/>
        <w:rPr>
          <w:rFonts w:ascii="宋体" w:hAnsi="宋体"/>
          <w:sz w:val="24"/>
          <w:highlight w:val="none"/>
        </w:rPr>
      </w:pPr>
      <w:bookmarkStart w:id="244" w:name="_Toc25712_WPSOffice_Level3"/>
      <w:r>
        <w:rPr>
          <w:rFonts w:hint="eastAsia" w:ascii="宋体" w:hAnsi="宋体"/>
          <w:sz w:val="24"/>
          <w:highlight w:val="none"/>
        </w:rPr>
        <w:t>2.2符合性审查</w:t>
      </w:r>
      <w:bookmarkEnd w:id="244"/>
    </w:p>
    <w:p>
      <w:pPr>
        <w:spacing w:line="460" w:lineRule="exact"/>
        <w:ind w:firstLine="480" w:firstLineChars="200"/>
        <w:rPr>
          <w:rFonts w:ascii="宋体" w:hAnsi="宋体"/>
          <w:sz w:val="24"/>
          <w:highlight w:val="none"/>
        </w:rPr>
      </w:pPr>
      <w:r>
        <w:rPr>
          <w:rFonts w:hint="eastAsia" w:ascii="宋体" w:hAnsi="宋体"/>
          <w:sz w:val="24"/>
          <w:highlight w:val="none"/>
        </w:rPr>
        <w:t>符合性审查标准：依据谈判文件的规定，对资格审查合格的响应文件从响应文件的有效性、完整性和对谈判文件的响应程度进行审查，以确定是否对谈判文件的实质性要求作出响应；见评审办法前附表。</w:t>
      </w:r>
    </w:p>
    <w:p>
      <w:pPr>
        <w:spacing w:line="460" w:lineRule="exact"/>
        <w:ind w:firstLine="480" w:firstLineChars="200"/>
        <w:rPr>
          <w:rFonts w:ascii="宋体" w:hAnsi="宋体"/>
          <w:sz w:val="24"/>
          <w:highlight w:val="none"/>
        </w:rPr>
      </w:pPr>
      <w:bookmarkStart w:id="245" w:name="_Toc468805880"/>
      <w:bookmarkStart w:id="246" w:name="_Toc10863"/>
      <w:bookmarkStart w:id="247" w:name="_Toc9155_WPSOffice_Level2"/>
      <w:bookmarkStart w:id="248" w:name="_Toc32004_WPSOffice_Level3"/>
      <w:r>
        <w:rPr>
          <w:rFonts w:ascii="宋体" w:hAnsi="宋体"/>
          <w:sz w:val="24"/>
          <w:highlight w:val="none"/>
        </w:rPr>
        <w:t xml:space="preserve">3. </w:t>
      </w:r>
      <w:r>
        <w:rPr>
          <w:rFonts w:hint="eastAsia" w:ascii="宋体" w:hAnsi="宋体"/>
          <w:sz w:val="24"/>
          <w:highlight w:val="none"/>
        </w:rPr>
        <w:t>评审程序</w:t>
      </w:r>
      <w:bookmarkEnd w:id="245"/>
      <w:bookmarkEnd w:id="246"/>
      <w:bookmarkEnd w:id="247"/>
      <w:bookmarkEnd w:id="248"/>
    </w:p>
    <w:p>
      <w:pPr>
        <w:pStyle w:val="13"/>
        <w:rPr>
          <w:rFonts w:ascii="宋体" w:hAnsi="宋体"/>
          <w:kern w:val="2"/>
          <w:highlight w:val="none"/>
        </w:rPr>
      </w:pPr>
      <w:r>
        <w:rPr>
          <w:rFonts w:hint="eastAsia"/>
          <w:highlight w:val="none"/>
        </w:rPr>
        <w:t xml:space="preserve">   </w:t>
      </w:r>
      <w:r>
        <w:rPr>
          <w:rFonts w:hint="eastAsia" w:ascii="宋体" w:hAnsi="宋体"/>
          <w:kern w:val="2"/>
          <w:highlight w:val="none"/>
        </w:rPr>
        <w:t xml:space="preserve"> 3.1资格审查</w:t>
      </w:r>
    </w:p>
    <w:p>
      <w:pPr>
        <w:spacing w:line="460" w:lineRule="exact"/>
        <w:ind w:firstLine="480" w:firstLineChars="200"/>
        <w:rPr>
          <w:rFonts w:ascii="宋体" w:hAnsi="宋体"/>
          <w:sz w:val="24"/>
          <w:highlight w:val="none"/>
        </w:rPr>
      </w:pPr>
      <w:r>
        <w:rPr>
          <w:rFonts w:hint="eastAsia" w:ascii="宋体" w:hAnsi="宋体"/>
          <w:sz w:val="24"/>
          <w:highlight w:val="none"/>
        </w:rPr>
        <w:t>谈判小组依据本章第1项规定的标准对响应文件进行资格审查。有一项不符合审查标准的，投标无效。</w:t>
      </w:r>
    </w:p>
    <w:p>
      <w:pPr>
        <w:spacing w:line="460" w:lineRule="exact"/>
        <w:ind w:firstLine="480" w:firstLineChars="200"/>
        <w:rPr>
          <w:rFonts w:ascii="宋体" w:hAnsi="宋体"/>
          <w:sz w:val="24"/>
          <w:highlight w:val="none"/>
        </w:rPr>
      </w:pPr>
      <w:r>
        <w:rPr>
          <w:rFonts w:hint="eastAsia" w:ascii="宋体" w:hAnsi="宋体"/>
          <w:sz w:val="24"/>
          <w:highlight w:val="none"/>
        </w:rPr>
        <w:t>注：合格供应商不足</w:t>
      </w:r>
      <w:r>
        <w:rPr>
          <w:rFonts w:ascii="宋体" w:hAnsi="宋体"/>
          <w:sz w:val="24"/>
          <w:highlight w:val="none"/>
        </w:rPr>
        <w:t>3</w:t>
      </w:r>
      <w:r>
        <w:rPr>
          <w:rFonts w:hint="eastAsia" w:ascii="宋体" w:hAnsi="宋体"/>
          <w:sz w:val="24"/>
          <w:highlight w:val="none"/>
        </w:rPr>
        <w:t>家的，不再进入评审程序，作废标处理。</w:t>
      </w:r>
    </w:p>
    <w:p>
      <w:pPr>
        <w:spacing w:line="460" w:lineRule="exact"/>
        <w:ind w:firstLine="480" w:firstLineChars="200"/>
        <w:rPr>
          <w:rFonts w:ascii="宋体" w:hAnsi="宋体"/>
          <w:sz w:val="24"/>
          <w:highlight w:val="none"/>
        </w:rPr>
      </w:pPr>
      <w:bookmarkStart w:id="249" w:name="_Toc10065_WPSOffice_Level3"/>
      <w:r>
        <w:rPr>
          <w:rFonts w:ascii="宋体" w:hAnsi="宋体"/>
          <w:sz w:val="24"/>
          <w:highlight w:val="none"/>
        </w:rPr>
        <w:t>3.</w:t>
      </w: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符合性审查</w:t>
      </w:r>
      <w:bookmarkEnd w:id="249"/>
    </w:p>
    <w:p>
      <w:pPr>
        <w:spacing w:line="460" w:lineRule="exact"/>
        <w:ind w:firstLine="480" w:firstLineChars="200"/>
        <w:rPr>
          <w:rFonts w:ascii="宋体" w:hAnsi="宋体"/>
          <w:sz w:val="24"/>
          <w:highlight w:val="none"/>
        </w:rPr>
      </w:pPr>
      <w:r>
        <w:rPr>
          <w:rFonts w:hint="eastAsia" w:ascii="宋体" w:hAnsi="宋体"/>
          <w:sz w:val="24"/>
          <w:highlight w:val="none"/>
        </w:rPr>
        <w:t>谈判小组依据本章第</w:t>
      </w:r>
      <w:r>
        <w:rPr>
          <w:rFonts w:ascii="宋体" w:hAnsi="宋体"/>
          <w:sz w:val="24"/>
          <w:highlight w:val="none"/>
        </w:rPr>
        <w:t>2</w:t>
      </w:r>
      <w:r>
        <w:rPr>
          <w:rFonts w:hint="eastAsia" w:ascii="宋体" w:hAnsi="宋体"/>
          <w:sz w:val="24"/>
          <w:highlight w:val="none"/>
        </w:rPr>
        <w:t>项规定的标准对资格审查合格的响应文件进行符合性审查。有一项不符合评审标准的，投标无效。</w:t>
      </w:r>
    </w:p>
    <w:p>
      <w:pPr>
        <w:spacing w:line="460" w:lineRule="exact"/>
        <w:ind w:firstLine="480" w:firstLineChars="200"/>
        <w:rPr>
          <w:rFonts w:ascii="宋体" w:hAnsi="宋体"/>
          <w:sz w:val="24"/>
          <w:highlight w:val="none"/>
        </w:rPr>
      </w:pPr>
      <w:r>
        <w:rPr>
          <w:rFonts w:hint="eastAsia" w:ascii="宋体" w:hAnsi="宋体"/>
          <w:sz w:val="24"/>
          <w:highlight w:val="none"/>
        </w:rPr>
        <w:t>提供相同品牌产品（核心产品）且通过资格审查、符合性审查的不同供应商参加同一合同项下投标的，按一家供应商计算；报价相同的，按照最有利于采购人利益的原则，由谈判小组综合评定后确定一个供应商获得成交候选人推荐资格，其他同品牌供应商不作为成交候选人。</w:t>
      </w:r>
    </w:p>
    <w:p>
      <w:pPr>
        <w:spacing w:line="460" w:lineRule="exact"/>
        <w:rPr>
          <w:rFonts w:ascii="宋体" w:hAnsi="宋体"/>
          <w:sz w:val="24"/>
          <w:highlight w:val="none"/>
        </w:rPr>
      </w:pPr>
      <w:bookmarkStart w:id="250" w:name="_Toc468805883"/>
      <w:r>
        <w:rPr>
          <w:rFonts w:hint="eastAsia" w:ascii="宋体" w:hAnsi="宋体"/>
          <w:sz w:val="24"/>
          <w:highlight w:val="none"/>
        </w:rPr>
        <w:t xml:space="preserve">    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将其作为无效投标处理。</w:t>
      </w:r>
    </w:p>
    <w:p>
      <w:pPr>
        <w:spacing w:line="460" w:lineRule="exact"/>
        <w:ind w:firstLine="480" w:firstLineChars="200"/>
        <w:rPr>
          <w:rFonts w:ascii="宋体" w:hAnsi="宋体"/>
          <w:sz w:val="24"/>
          <w:highlight w:val="none"/>
        </w:rPr>
      </w:pPr>
      <w:bookmarkStart w:id="251" w:name="_Toc19784_WPSOffice_Level3"/>
      <w:r>
        <w:rPr>
          <w:rFonts w:ascii="宋体" w:hAnsi="宋体"/>
          <w:sz w:val="24"/>
          <w:highlight w:val="none"/>
        </w:rPr>
        <w:t>3.</w:t>
      </w:r>
      <w:r>
        <w:rPr>
          <w:rFonts w:hint="eastAsia" w:ascii="宋体" w:hAnsi="宋体"/>
          <w:sz w:val="24"/>
          <w:highlight w:val="none"/>
        </w:rPr>
        <w:t>3响应文件的澄清原则：</w:t>
      </w:r>
      <w:bookmarkEnd w:id="250"/>
      <w:bookmarkEnd w:id="251"/>
    </w:p>
    <w:p>
      <w:pPr>
        <w:spacing w:line="460" w:lineRule="exact"/>
        <w:ind w:firstLine="480" w:firstLineChars="200"/>
        <w:rPr>
          <w:rFonts w:ascii="宋体" w:hAnsi="宋体"/>
          <w:sz w:val="24"/>
          <w:highlight w:val="none"/>
        </w:rPr>
      </w:pPr>
      <w:r>
        <w:rPr>
          <w:rFonts w:ascii="宋体" w:hAnsi="宋体"/>
          <w:sz w:val="24"/>
          <w:highlight w:val="none"/>
        </w:rPr>
        <w:t>3.</w:t>
      </w:r>
      <w:r>
        <w:rPr>
          <w:rFonts w:hint="eastAsia" w:ascii="宋体" w:hAnsi="宋体"/>
          <w:sz w:val="24"/>
          <w:highlight w:val="none"/>
        </w:rPr>
        <w:t>3</w:t>
      </w:r>
      <w:r>
        <w:rPr>
          <w:rFonts w:ascii="宋体" w:hAnsi="宋体"/>
          <w:sz w:val="24"/>
          <w:highlight w:val="none"/>
        </w:rPr>
        <w:t xml:space="preserve">.1 </w:t>
      </w:r>
      <w:r>
        <w:rPr>
          <w:rFonts w:hint="eastAsia" w:ascii="宋体" w:hAnsi="宋体"/>
          <w:sz w:val="24"/>
          <w:highlight w:val="none"/>
        </w:rPr>
        <w:t>在评审过程中，谈判小组可以书面形式（应当由谈判小组专家签字）要求供应商对所提交的响应文件中含义不明确、同类问题表述不一致或者有明显文字和计算错误的内容，进行澄清、说明或者补正。谈判小组不接受供应商主动提出的澄清、说明或补正。</w:t>
      </w:r>
    </w:p>
    <w:p>
      <w:pPr>
        <w:spacing w:line="460" w:lineRule="exact"/>
        <w:ind w:firstLine="480" w:firstLineChars="200"/>
        <w:rPr>
          <w:rFonts w:ascii="宋体" w:hAnsi="宋体"/>
          <w:sz w:val="24"/>
          <w:highlight w:val="none"/>
        </w:rPr>
      </w:pPr>
      <w:r>
        <w:rPr>
          <w:rFonts w:ascii="宋体" w:hAnsi="宋体"/>
          <w:sz w:val="24"/>
          <w:highlight w:val="none"/>
        </w:rPr>
        <w:t>3.</w:t>
      </w:r>
      <w:r>
        <w:rPr>
          <w:rFonts w:hint="eastAsia" w:ascii="宋体" w:hAnsi="宋体"/>
          <w:sz w:val="24"/>
          <w:highlight w:val="none"/>
        </w:rPr>
        <w:t>3</w:t>
      </w:r>
      <w:r>
        <w:rPr>
          <w:rFonts w:ascii="宋体" w:hAnsi="宋体"/>
          <w:sz w:val="24"/>
          <w:highlight w:val="none"/>
        </w:rPr>
        <w:t xml:space="preserve">.2 </w:t>
      </w:r>
      <w:r>
        <w:rPr>
          <w:rFonts w:hint="eastAsia" w:ascii="宋体" w:hAnsi="宋体"/>
          <w:sz w:val="24"/>
          <w:highlight w:val="none"/>
        </w:rPr>
        <w:t>供应商的澄清、说明和补正应当采用书面形式，并加盖公章，或者由法定代表人或其授权的代表签字。供应商的澄清、说明或者补正不得超出响应文件的范围或者改变响应文件的实质性内容。供应商的书面澄清、说明和补正属于响应文件的组成部分。</w:t>
      </w:r>
    </w:p>
    <w:p>
      <w:pPr>
        <w:spacing w:line="460" w:lineRule="exact"/>
        <w:ind w:firstLine="480" w:firstLineChars="200"/>
        <w:rPr>
          <w:rFonts w:ascii="宋体" w:hAnsi="宋体"/>
          <w:sz w:val="24"/>
          <w:highlight w:val="none"/>
        </w:rPr>
      </w:pPr>
      <w:r>
        <w:rPr>
          <w:rFonts w:ascii="宋体" w:hAnsi="宋体"/>
          <w:sz w:val="24"/>
          <w:highlight w:val="none"/>
        </w:rPr>
        <w:t>3.</w:t>
      </w:r>
      <w:r>
        <w:rPr>
          <w:rFonts w:hint="eastAsia" w:ascii="宋体" w:hAnsi="宋体"/>
          <w:sz w:val="24"/>
          <w:highlight w:val="none"/>
        </w:rPr>
        <w:t>3</w:t>
      </w:r>
      <w:r>
        <w:rPr>
          <w:rFonts w:ascii="宋体" w:hAnsi="宋体"/>
          <w:sz w:val="24"/>
          <w:highlight w:val="none"/>
        </w:rPr>
        <w:t xml:space="preserve">.3 </w:t>
      </w:r>
      <w:r>
        <w:rPr>
          <w:rFonts w:hint="eastAsia" w:ascii="宋体" w:hAnsi="宋体"/>
          <w:sz w:val="24"/>
          <w:highlight w:val="none"/>
        </w:rPr>
        <w:t>谈判小组对供应商提交的澄清、说明或补正有疑问的，可以要求供应商进一步澄清、说明或补正，直至满足谈判小组的要求。</w:t>
      </w:r>
    </w:p>
    <w:p>
      <w:pPr>
        <w:spacing w:line="460" w:lineRule="exact"/>
        <w:ind w:firstLine="480" w:firstLineChars="200"/>
        <w:rPr>
          <w:rFonts w:ascii="宋体" w:hAnsi="宋体"/>
          <w:sz w:val="24"/>
          <w:highlight w:val="none"/>
        </w:rPr>
      </w:pPr>
      <w:bookmarkStart w:id="252" w:name="_Toc27224_WPSOffice_Level3"/>
      <w:r>
        <w:rPr>
          <w:rFonts w:ascii="宋体" w:hAnsi="宋体"/>
          <w:sz w:val="24"/>
          <w:highlight w:val="none"/>
        </w:rPr>
        <w:t>3.</w:t>
      </w:r>
      <w:r>
        <w:rPr>
          <w:rFonts w:hint="eastAsia" w:ascii="宋体" w:hAnsi="宋体"/>
          <w:sz w:val="24"/>
          <w:highlight w:val="none"/>
        </w:rPr>
        <w:t>4</w:t>
      </w:r>
      <w:r>
        <w:rPr>
          <w:rFonts w:ascii="宋体" w:hAnsi="宋体"/>
          <w:sz w:val="24"/>
          <w:highlight w:val="none"/>
        </w:rPr>
        <w:t xml:space="preserve"> </w:t>
      </w:r>
      <w:r>
        <w:rPr>
          <w:rFonts w:hint="eastAsia" w:ascii="宋体" w:hAnsi="宋体"/>
          <w:sz w:val="24"/>
          <w:highlight w:val="none"/>
        </w:rPr>
        <w:t>供应商有以下情形之一的，其投标无效：</w:t>
      </w:r>
      <w:bookmarkEnd w:id="252"/>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）串通投标或弄虚作假或有其他违法行为的；</w:t>
      </w:r>
    </w:p>
    <w:p>
      <w:pPr>
        <w:spacing w:line="4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）不按谈判小组要求澄清、说明或补正的。</w:t>
      </w:r>
    </w:p>
    <w:p>
      <w:pPr>
        <w:spacing w:line="460" w:lineRule="exact"/>
        <w:ind w:firstLine="480" w:firstLineChars="200"/>
        <w:rPr>
          <w:rFonts w:ascii="宋体" w:hAnsi="宋体"/>
          <w:sz w:val="24"/>
          <w:highlight w:val="none"/>
        </w:rPr>
      </w:pPr>
      <w:bookmarkStart w:id="253" w:name="_Toc468805884"/>
      <w:bookmarkStart w:id="254" w:name="_Toc9155_WPSOffice_Level3"/>
      <w:r>
        <w:rPr>
          <w:rFonts w:ascii="宋体" w:hAnsi="宋体"/>
          <w:sz w:val="24"/>
          <w:highlight w:val="none"/>
        </w:rPr>
        <w:t>3.</w:t>
      </w:r>
      <w:r>
        <w:rPr>
          <w:rFonts w:hint="eastAsia" w:ascii="宋体" w:hAnsi="宋体"/>
          <w:sz w:val="24"/>
          <w:highlight w:val="none"/>
        </w:rPr>
        <w:t>5</w:t>
      </w:r>
      <w:r>
        <w:rPr>
          <w:rFonts w:ascii="宋体" w:hAnsi="宋体"/>
          <w:sz w:val="24"/>
          <w:highlight w:val="none"/>
        </w:rPr>
        <w:t xml:space="preserve"> </w:t>
      </w:r>
      <w:r>
        <w:rPr>
          <w:rFonts w:hint="eastAsia" w:ascii="宋体" w:hAnsi="宋体"/>
          <w:sz w:val="24"/>
          <w:highlight w:val="none"/>
        </w:rPr>
        <w:t>评审结果</w:t>
      </w:r>
      <w:bookmarkEnd w:id="253"/>
      <w:bookmarkEnd w:id="254"/>
    </w:p>
    <w:p>
      <w:pPr>
        <w:spacing w:line="460" w:lineRule="exact"/>
        <w:ind w:firstLine="480" w:firstLineChars="200"/>
        <w:rPr>
          <w:rFonts w:ascii="宋体" w:hAnsi="宋体"/>
          <w:sz w:val="24"/>
          <w:highlight w:val="none"/>
        </w:rPr>
      </w:pPr>
      <w:r>
        <w:rPr>
          <w:rFonts w:ascii="宋体" w:hAnsi="宋体"/>
          <w:sz w:val="24"/>
          <w:highlight w:val="none"/>
        </w:rPr>
        <w:t>3.5.1</w:t>
      </w:r>
      <w:r>
        <w:rPr>
          <w:rFonts w:hint="eastAsia" w:ascii="宋体" w:hAnsi="宋体"/>
          <w:sz w:val="24"/>
          <w:highlight w:val="none"/>
        </w:rPr>
        <w:t>谈判小组对通过资格审查、符合性审查的响应文件，从质量和服务均能满足谈判文件实质性响应要求的供应商中，按照最后报价由低到高的顺序推荐1-3名成交候选人，</w:t>
      </w:r>
    </w:p>
    <w:p>
      <w:pPr>
        <w:spacing w:line="460" w:lineRule="exact"/>
        <w:rPr>
          <w:rFonts w:ascii="宋体" w:hAnsi="宋体"/>
          <w:sz w:val="24"/>
          <w:highlight w:val="none"/>
        </w:rPr>
      </w:pPr>
      <w:r>
        <w:rPr>
          <w:rFonts w:hint="eastAsia" w:ascii="宋体" w:hAnsi="宋体"/>
          <w:sz w:val="24"/>
          <w:highlight w:val="none"/>
        </w:rPr>
        <w:t>并提出书面评审报告。</w:t>
      </w:r>
    </w:p>
    <w:p>
      <w:pPr>
        <w:spacing w:line="460" w:lineRule="exact"/>
        <w:ind w:firstLine="480" w:firstLineChars="200"/>
        <w:rPr>
          <w:rFonts w:ascii="宋体" w:hAnsi="宋体"/>
          <w:sz w:val="24"/>
          <w:highlight w:val="none"/>
        </w:rPr>
      </w:pPr>
      <w:r>
        <w:rPr>
          <w:rFonts w:ascii="宋体" w:hAnsi="宋体"/>
          <w:sz w:val="24"/>
          <w:highlight w:val="none"/>
        </w:rPr>
        <w:t xml:space="preserve">3.5.2 </w:t>
      </w:r>
      <w:r>
        <w:rPr>
          <w:rFonts w:hint="eastAsia" w:ascii="宋体" w:hAnsi="宋体"/>
          <w:sz w:val="24"/>
          <w:highlight w:val="none"/>
        </w:rPr>
        <w:t>采购人根据谈判小组提出的书面评审报告和推荐的成交候选人名单，确定成交供应商。</w:t>
      </w:r>
    </w:p>
    <w:p>
      <w:pPr>
        <w:pStyle w:val="3"/>
        <w:ind w:left="0" w:firstLine="0"/>
        <w:jc w:val="center"/>
        <w:rPr>
          <w:rFonts w:ascii="黑体" w:hAnsi="黑体"/>
          <w:bCs w:val="0"/>
          <w:sz w:val="32"/>
          <w:highlight w:val="none"/>
        </w:rPr>
      </w:pPr>
      <w:bookmarkStart w:id="255" w:name="_Toc26723_WPSOffice_Level2"/>
      <w:bookmarkStart w:id="256" w:name="_Toc9761_WPSOffice_Level1"/>
      <w:bookmarkStart w:id="257" w:name="_Toc60996703"/>
      <w:bookmarkStart w:id="258" w:name="_Toc59718140"/>
      <w:bookmarkStart w:id="259" w:name="_Toc57104298"/>
      <w:bookmarkStart w:id="260" w:name="_第八章_政府采购供应商质疑函范本"/>
    </w:p>
    <w:p>
      <w:pPr>
        <w:pStyle w:val="3"/>
        <w:ind w:left="0" w:firstLine="0"/>
        <w:jc w:val="center"/>
        <w:rPr>
          <w:rFonts w:ascii="黑体" w:hAnsi="黑体"/>
          <w:bCs w:val="0"/>
          <w:sz w:val="32"/>
          <w:highlight w:val="none"/>
        </w:rPr>
      </w:pPr>
    </w:p>
    <w:p>
      <w:pPr>
        <w:pStyle w:val="3"/>
        <w:ind w:left="0" w:firstLine="0"/>
        <w:jc w:val="center"/>
        <w:rPr>
          <w:rFonts w:ascii="黑体" w:hAnsi="黑体"/>
          <w:bCs w:val="0"/>
          <w:sz w:val="32"/>
          <w:highlight w:val="none"/>
        </w:rPr>
      </w:pPr>
    </w:p>
    <w:p>
      <w:pPr>
        <w:pStyle w:val="3"/>
        <w:ind w:left="0" w:firstLine="0"/>
        <w:jc w:val="center"/>
        <w:rPr>
          <w:rFonts w:ascii="黑体" w:hAnsi="黑体"/>
          <w:bCs w:val="0"/>
          <w:sz w:val="32"/>
          <w:highlight w:val="none"/>
        </w:rPr>
      </w:pPr>
    </w:p>
    <w:p>
      <w:pPr>
        <w:pStyle w:val="3"/>
        <w:ind w:left="0" w:firstLine="0"/>
        <w:jc w:val="center"/>
        <w:rPr>
          <w:rFonts w:ascii="黑体" w:hAnsi="黑体"/>
          <w:bCs w:val="0"/>
          <w:sz w:val="32"/>
          <w:highlight w:val="none"/>
        </w:rPr>
      </w:pPr>
    </w:p>
    <w:p>
      <w:pPr>
        <w:rPr>
          <w:highlight w:val="none"/>
        </w:rPr>
      </w:pPr>
    </w:p>
    <w:p>
      <w:pPr>
        <w:pStyle w:val="13"/>
        <w:rPr>
          <w:highlight w:val="none"/>
        </w:rPr>
      </w:pPr>
    </w:p>
    <w:p>
      <w:pPr>
        <w:pStyle w:val="3"/>
        <w:ind w:left="0" w:firstLine="0"/>
        <w:jc w:val="center"/>
        <w:rPr>
          <w:rFonts w:hint="eastAsia" w:ascii="黑体"/>
          <w:sz w:val="32"/>
          <w:szCs w:val="32"/>
          <w:highlight w:val="none"/>
        </w:rPr>
      </w:pPr>
    </w:p>
    <w:p>
      <w:pPr>
        <w:rPr>
          <w:rFonts w:hint="eastAsia" w:ascii="黑体"/>
          <w:sz w:val="32"/>
          <w:szCs w:val="32"/>
          <w:highlight w:val="none"/>
        </w:rPr>
      </w:pPr>
    </w:p>
    <w:p>
      <w:pPr>
        <w:pStyle w:val="45"/>
        <w:rPr>
          <w:rFonts w:hint="eastAsia" w:ascii="黑体"/>
          <w:sz w:val="32"/>
          <w:szCs w:val="32"/>
          <w:highlight w:val="none"/>
        </w:rPr>
      </w:pPr>
    </w:p>
    <w:p>
      <w:pPr>
        <w:pStyle w:val="45"/>
        <w:rPr>
          <w:rFonts w:hint="eastAsia" w:ascii="黑体"/>
          <w:sz w:val="32"/>
          <w:szCs w:val="32"/>
          <w:highlight w:val="none"/>
        </w:rPr>
      </w:pPr>
    </w:p>
    <w:p>
      <w:pPr>
        <w:pStyle w:val="45"/>
        <w:rPr>
          <w:rFonts w:hint="eastAsia" w:ascii="黑体"/>
          <w:sz w:val="32"/>
          <w:szCs w:val="32"/>
          <w:highlight w:val="none"/>
        </w:rPr>
      </w:pPr>
    </w:p>
    <w:p>
      <w:pPr>
        <w:pStyle w:val="45"/>
        <w:rPr>
          <w:rFonts w:hint="eastAsia" w:ascii="黑体"/>
          <w:sz w:val="32"/>
          <w:szCs w:val="32"/>
          <w:highlight w:val="none"/>
        </w:rPr>
      </w:pPr>
    </w:p>
    <w:p>
      <w:pPr>
        <w:pStyle w:val="45"/>
        <w:rPr>
          <w:rFonts w:hint="eastAsia" w:ascii="黑体"/>
          <w:sz w:val="32"/>
          <w:szCs w:val="32"/>
          <w:highlight w:val="none"/>
        </w:rPr>
      </w:pPr>
    </w:p>
    <w:p>
      <w:pPr>
        <w:pStyle w:val="45"/>
        <w:rPr>
          <w:rFonts w:hint="eastAsia" w:ascii="黑体"/>
          <w:sz w:val="32"/>
          <w:szCs w:val="32"/>
          <w:highlight w:val="none"/>
        </w:rPr>
      </w:pPr>
    </w:p>
    <w:p>
      <w:pPr>
        <w:pStyle w:val="45"/>
        <w:rPr>
          <w:rFonts w:hint="eastAsia" w:ascii="黑体"/>
          <w:sz w:val="32"/>
          <w:szCs w:val="32"/>
          <w:highlight w:val="none"/>
        </w:rPr>
      </w:pPr>
    </w:p>
    <w:p>
      <w:pPr>
        <w:pStyle w:val="45"/>
        <w:rPr>
          <w:rFonts w:hint="eastAsia" w:ascii="黑体"/>
          <w:sz w:val="32"/>
          <w:szCs w:val="32"/>
          <w:highlight w:val="none"/>
        </w:rPr>
      </w:pPr>
    </w:p>
    <w:p>
      <w:pPr>
        <w:pStyle w:val="45"/>
        <w:rPr>
          <w:rFonts w:hint="eastAsia" w:ascii="黑体"/>
          <w:sz w:val="32"/>
          <w:szCs w:val="32"/>
          <w:highlight w:val="none"/>
        </w:rPr>
      </w:pPr>
    </w:p>
    <w:p>
      <w:pPr>
        <w:pStyle w:val="3"/>
        <w:rPr>
          <w:rFonts w:hint="eastAsia" w:ascii="宋体" w:hAnsi="宋体"/>
          <w:sz w:val="36"/>
          <w:szCs w:val="36"/>
        </w:rPr>
      </w:pPr>
      <w:bookmarkStart w:id="261" w:name="_Toc8603"/>
    </w:p>
    <w:p>
      <w:pPr>
        <w:pStyle w:val="3"/>
        <w:rPr>
          <w:sz w:val="32"/>
          <w:szCs w:val="32"/>
        </w:rPr>
      </w:pPr>
      <w:r>
        <w:rPr>
          <w:rFonts w:hint="eastAsia" w:ascii="宋体" w:hAnsi="宋体"/>
          <w:sz w:val="36"/>
          <w:szCs w:val="36"/>
        </w:rPr>
        <w:t>附页</w:t>
      </w:r>
      <w:bookmarkEnd w:id="261"/>
    </w:p>
    <w:p>
      <w:pPr>
        <w:pStyle w:val="4"/>
        <w:spacing w:before="120" w:after="120" w:line="480" w:lineRule="exact"/>
        <w:jc w:val="center"/>
        <w:rPr>
          <w:rFonts w:ascii="宋体" w:hAnsi="宋体"/>
          <w:sz w:val="36"/>
          <w:szCs w:val="36"/>
        </w:rPr>
      </w:pPr>
      <w:bookmarkStart w:id="262" w:name="_Toc19930"/>
      <w:r>
        <w:rPr>
          <w:rFonts w:hint="eastAsia" w:ascii="宋体" w:hAnsi="宋体"/>
          <w:sz w:val="36"/>
          <w:szCs w:val="36"/>
        </w:rPr>
        <w:t>二次报价表（最终报价）</w:t>
      </w:r>
      <w:bookmarkEnd w:id="262"/>
    </w:p>
    <w:p>
      <w:pPr>
        <w:spacing w:line="400" w:lineRule="exact"/>
        <w:rPr>
          <w:rFonts w:ascii="宋体"/>
          <w:sz w:val="24"/>
          <w:highlight w:val="none"/>
        </w:rPr>
      </w:pPr>
    </w:p>
    <w:p>
      <w:pPr>
        <w:spacing w:before="7"/>
        <w:rPr>
          <w:rFonts w:hint="eastAsia" w:ascii="仿宋" w:hAnsi="仿宋" w:eastAsia="仿宋" w:cs="仿宋"/>
          <w:b/>
          <w:bCs/>
          <w:szCs w:val="21"/>
        </w:rPr>
      </w:pPr>
    </w:p>
    <w:p>
      <w:pPr>
        <w:tabs>
          <w:tab w:val="left" w:pos="3397"/>
        </w:tabs>
        <w:spacing w:before="34" w:line="340" w:lineRule="auto"/>
        <w:ind w:left="212" w:right="6669"/>
        <w:rPr>
          <w:rFonts w:hint="eastAsia" w:ascii="仿宋" w:hAnsi="仿宋" w:eastAsia="仿宋" w:cs="仿宋"/>
          <w:szCs w:val="21"/>
        </w:rPr>
      </w:pPr>
      <w:r>
        <w:rPr>
          <w:rFonts w:hint="eastAsia" w:ascii="仿宋" w:hAnsi="仿宋" w:eastAsia="仿宋" w:cs="仿宋"/>
          <w:szCs w:val="21"/>
        </w:rPr>
        <w:t>采购项目编号:</w:t>
      </w:r>
      <w:r>
        <w:rPr>
          <w:rFonts w:hint="eastAsia" w:ascii="仿宋" w:hAnsi="仿宋" w:eastAsia="仿宋" w:cs="仿宋"/>
          <w:w w:val="99"/>
          <w:szCs w:val="21"/>
          <w:u w:val="single" w:color="000000"/>
        </w:rPr>
        <w:t xml:space="preserve"> </w:t>
      </w:r>
      <w:r>
        <w:rPr>
          <w:rFonts w:hint="eastAsia" w:ascii="仿宋" w:hAnsi="仿宋" w:eastAsia="仿宋" w:cs="仿宋"/>
          <w:w w:val="99"/>
          <w:szCs w:val="21"/>
          <w:u w:val="single" w:color="000000"/>
          <w:lang w:val="en-US" w:eastAsia="zh-CN"/>
        </w:rPr>
        <w:t xml:space="preserve">        </w:t>
      </w:r>
      <w:r>
        <w:rPr>
          <w:rFonts w:hint="eastAsia" w:ascii="仿宋" w:hAnsi="仿宋" w:eastAsia="仿宋" w:cs="仿宋"/>
          <w:szCs w:val="21"/>
          <w:u w:val="single" w:color="000000"/>
        </w:rPr>
        <w:tab/>
      </w:r>
      <w:r>
        <w:rPr>
          <w:rFonts w:hint="eastAsia" w:ascii="仿宋" w:hAnsi="仿宋" w:eastAsia="仿宋" w:cs="仿宋"/>
          <w:szCs w:val="21"/>
        </w:rPr>
        <w:t>采购项目名称:</w:t>
      </w:r>
      <w:r>
        <w:rPr>
          <w:rFonts w:hint="eastAsia" w:ascii="仿宋" w:hAnsi="仿宋" w:eastAsia="仿宋" w:cs="仿宋"/>
          <w:szCs w:val="21"/>
          <w:lang w:val="en-US" w:eastAsia="zh-CN"/>
        </w:rPr>
        <w:t xml:space="preserve">  </w:t>
      </w:r>
      <w:r>
        <w:rPr>
          <w:rFonts w:hint="eastAsia" w:ascii="仿宋" w:hAnsi="仿宋" w:eastAsia="仿宋" w:cs="仿宋"/>
          <w:w w:val="99"/>
          <w:szCs w:val="21"/>
          <w:u w:val="single" w:color="000000"/>
        </w:rPr>
        <w:t xml:space="preserve"> </w:t>
      </w:r>
      <w:r>
        <w:rPr>
          <w:rFonts w:hint="eastAsia" w:ascii="仿宋" w:hAnsi="仿宋" w:eastAsia="仿宋" w:cs="仿宋"/>
          <w:w w:val="99"/>
          <w:szCs w:val="21"/>
          <w:u w:val="single" w:color="000000"/>
          <w:lang w:val="en-US" w:eastAsia="zh-CN"/>
        </w:rPr>
        <w:t xml:space="preserve">             </w:t>
      </w:r>
      <w:r>
        <w:rPr>
          <w:rFonts w:hint="eastAsia" w:ascii="仿宋" w:hAnsi="仿宋" w:eastAsia="仿宋" w:cs="仿宋"/>
          <w:szCs w:val="21"/>
          <w:u w:val="single" w:color="000000"/>
        </w:rPr>
        <w:tab/>
      </w:r>
    </w:p>
    <w:p>
      <w:pPr>
        <w:pStyle w:val="2"/>
        <w:ind w:firstLine="420"/>
        <w:rPr>
          <w:rFonts w:hint="eastAsia" w:ascii="仿宋" w:hAnsi="仿宋" w:eastAsia="仿宋" w:cs="仿宋"/>
        </w:rPr>
      </w:pPr>
    </w:p>
    <w:tbl>
      <w:tblPr>
        <w:tblStyle w:val="37"/>
        <w:tblW w:w="0" w:type="auto"/>
        <w:tblInd w:w="101" w:type="dxa"/>
        <w:tblLayout w:type="fixed"/>
        <w:tblCellMar>
          <w:top w:w="0" w:type="dxa"/>
          <w:left w:w="0" w:type="dxa"/>
          <w:bottom w:w="0" w:type="dxa"/>
          <w:right w:w="0" w:type="dxa"/>
        </w:tblCellMar>
      </w:tblPr>
      <w:tblGrid>
        <w:gridCol w:w="742"/>
        <w:gridCol w:w="2466"/>
        <w:gridCol w:w="6643"/>
      </w:tblGrid>
      <w:tr>
        <w:tblPrEx>
          <w:tblCellMar>
            <w:top w:w="0" w:type="dxa"/>
            <w:left w:w="0" w:type="dxa"/>
            <w:bottom w:w="0" w:type="dxa"/>
            <w:right w:w="0" w:type="dxa"/>
          </w:tblCellMar>
        </w:tblPrEx>
        <w:trPr>
          <w:trHeight w:val="1121" w:hRule="exact"/>
        </w:trPr>
        <w:tc>
          <w:tcPr>
            <w:tcW w:w="742" w:type="dxa"/>
            <w:tcBorders>
              <w:top w:val="single" w:color="000009" w:sz="4" w:space="0"/>
              <w:left w:val="single" w:color="000009" w:sz="4" w:space="0"/>
              <w:right w:val="single" w:color="000009" w:sz="4" w:space="0"/>
            </w:tcBorders>
            <w:noWrap w:val="0"/>
            <w:vAlign w:val="top"/>
          </w:tcPr>
          <w:p>
            <w:pPr>
              <w:pStyle w:val="119"/>
              <w:spacing w:before="3"/>
              <w:jc w:val="left"/>
              <w:rPr>
                <w:rFonts w:hint="eastAsia" w:ascii="仿宋" w:hAnsi="仿宋" w:eastAsia="仿宋" w:cs="仿宋"/>
                <w:sz w:val="17"/>
                <w:szCs w:val="17"/>
              </w:rPr>
            </w:pPr>
          </w:p>
          <w:p>
            <w:pPr>
              <w:pStyle w:val="119"/>
              <w:ind w:left="150"/>
              <w:jc w:val="left"/>
              <w:rPr>
                <w:rFonts w:hint="eastAsia" w:ascii="仿宋" w:hAnsi="仿宋" w:eastAsia="仿宋" w:cs="仿宋"/>
                <w:szCs w:val="21"/>
              </w:rPr>
            </w:pPr>
            <w:r>
              <w:rPr>
                <w:rFonts w:hint="eastAsia" w:ascii="仿宋" w:hAnsi="仿宋" w:eastAsia="仿宋" w:cs="仿宋"/>
                <w:szCs w:val="21"/>
              </w:rPr>
              <w:t>序号</w:t>
            </w:r>
          </w:p>
        </w:tc>
        <w:tc>
          <w:tcPr>
            <w:tcW w:w="2466" w:type="dxa"/>
            <w:tcBorders>
              <w:top w:val="single" w:color="000009" w:sz="4" w:space="0"/>
              <w:left w:val="single" w:color="000009" w:sz="4" w:space="0"/>
              <w:right w:val="single" w:color="000009" w:sz="4" w:space="0"/>
            </w:tcBorders>
            <w:noWrap w:val="0"/>
            <w:vAlign w:val="top"/>
          </w:tcPr>
          <w:p>
            <w:pPr>
              <w:pStyle w:val="119"/>
              <w:spacing w:before="3"/>
              <w:jc w:val="left"/>
              <w:rPr>
                <w:rFonts w:hint="eastAsia" w:ascii="仿宋" w:hAnsi="仿宋" w:eastAsia="仿宋" w:cs="仿宋"/>
                <w:sz w:val="17"/>
                <w:szCs w:val="17"/>
              </w:rPr>
            </w:pPr>
          </w:p>
          <w:p>
            <w:pPr>
              <w:pStyle w:val="119"/>
              <w:ind w:left="802"/>
              <w:jc w:val="left"/>
              <w:rPr>
                <w:rFonts w:hint="eastAsia" w:ascii="仿宋" w:hAnsi="仿宋" w:eastAsia="仿宋" w:cs="仿宋"/>
                <w:szCs w:val="21"/>
              </w:rPr>
            </w:pPr>
            <w:r>
              <w:rPr>
                <w:rFonts w:hint="eastAsia" w:ascii="仿宋" w:hAnsi="仿宋" w:eastAsia="仿宋" w:cs="仿宋"/>
                <w:szCs w:val="21"/>
              </w:rPr>
              <w:t>采购项目</w:t>
            </w:r>
          </w:p>
        </w:tc>
        <w:tc>
          <w:tcPr>
            <w:tcW w:w="6643" w:type="dxa"/>
            <w:tcBorders>
              <w:top w:val="single" w:color="000009" w:sz="4" w:space="0"/>
              <w:left w:val="single" w:color="000009" w:sz="4" w:space="0"/>
              <w:bottom w:val="single" w:color="000009" w:sz="4" w:space="0"/>
              <w:right w:val="single" w:color="000009" w:sz="4" w:space="0"/>
            </w:tcBorders>
            <w:noWrap w:val="0"/>
            <w:vAlign w:val="top"/>
          </w:tcPr>
          <w:p>
            <w:pPr>
              <w:pStyle w:val="119"/>
              <w:spacing w:before="3"/>
              <w:jc w:val="left"/>
              <w:rPr>
                <w:rFonts w:hint="eastAsia" w:ascii="仿宋" w:hAnsi="仿宋" w:eastAsia="仿宋" w:cs="仿宋"/>
                <w:sz w:val="17"/>
                <w:szCs w:val="17"/>
              </w:rPr>
            </w:pPr>
          </w:p>
          <w:p>
            <w:pPr>
              <w:pStyle w:val="119"/>
              <w:ind w:right="10"/>
              <w:jc w:val="center"/>
              <w:rPr>
                <w:rFonts w:hint="eastAsia" w:ascii="仿宋" w:hAnsi="仿宋" w:eastAsia="仿宋" w:cs="仿宋"/>
                <w:szCs w:val="21"/>
              </w:rPr>
            </w:pPr>
            <w:r>
              <w:rPr>
                <w:rFonts w:hint="eastAsia" w:ascii="仿宋" w:hAnsi="仿宋" w:eastAsia="仿宋" w:cs="仿宋"/>
                <w:szCs w:val="21"/>
              </w:rPr>
              <w:t>报价</w:t>
            </w:r>
          </w:p>
        </w:tc>
      </w:tr>
      <w:tr>
        <w:tblPrEx>
          <w:tblCellMar>
            <w:top w:w="0" w:type="dxa"/>
            <w:left w:w="0" w:type="dxa"/>
            <w:bottom w:w="0" w:type="dxa"/>
            <w:right w:w="0" w:type="dxa"/>
          </w:tblCellMar>
        </w:tblPrEx>
        <w:trPr>
          <w:trHeight w:val="1537" w:hRule="exact"/>
        </w:trPr>
        <w:tc>
          <w:tcPr>
            <w:tcW w:w="742" w:type="dxa"/>
            <w:tcBorders>
              <w:top w:val="single" w:color="000009" w:sz="4" w:space="0"/>
              <w:left w:val="single" w:color="000009" w:sz="4" w:space="0"/>
              <w:bottom w:val="single" w:color="000009" w:sz="4" w:space="0"/>
              <w:right w:val="single" w:color="000009" w:sz="4" w:space="0"/>
            </w:tcBorders>
            <w:noWrap w:val="0"/>
            <w:vAlign w:val="center"/>
          </w:tcPr>
          <w:p>
            <w:pPr>
              <w:pStyle w:val="119"/>
              <w:spacing w:before="1"/>
              <w:jc w:val="center"/>
              <w:rPr>
                <w:rFonts w:hint="eastAsia" w:ascii="仿宋" w:hAnsi="仿宋" w:eastAsia="仿宋" w:cs="仿宋"/>
                <w:sz w:val="18"/>
                <w:szCs w:val="18"/>
              </w:rPr>
            </w:pPr>
          </w:p>
          <w:p>
            <w:pPr>
              <w:pStyle w:val="119"/>
              <w:ind w:right="28"/>
              <w:jc w:val="center"/>
              <w:rPr>
                <w:rFonts w:hint="eastAsia" w:ascii="仿宋" w:hAnsi="仿宋" w:eastAsia="仿宋" w:cs="仿宋"/>
                <w:szCs w:val="21"/>
              </w:rPr>
            </w:pPr>
            <w:r>
              <w:rPr>
                <w:rFonts w:hint="eastAsia" w:ascii="仿宋" w:hAnsi="仿宋" w:eastAsia="仿宋" w:cs="仿宋"/>
                <w:w w:val="99"/>
              </w:rPr>
              <w:t>1</w:t>
            </w:r>
          </w:p>
        </w:tc>
        <w:tc>
          <w:tcPr>
            <w:tcW w:w="2466" w:type="dxa"/>
            <w:tcBorders>
              <w:top w:val="single" w:color="000009" w:sz="4" w:space="0"/>
              <w:left w:val="single" w:color="000009" w:sz="4" w:space="0"/>
              <w:bottom w:val="single" w:color="000009" w:sz="4" w:space="0"/>
              <w:right w:val="single" w:color="000009" w:sz="4" w:space="0"/>
            </w:tcBorders>
            <w:noWrap w:val="0"/>
            <w:vAlign w:val="center"/>
          </w:tcPr>
          <w:p>
            <w:pPr>
              <w:spacing w:line="360" w:lineRule="auto"/>
              <w:jc w:val="center"/>
              <w:rPr>
                <w:rFonts w:hint="eastAsia" w:ascii="仿宋" w:hAnsi="仿宋" w:eastAsia="仿宋" w:cs="仿宋"/>
                <w:sz w:val="24"/>
                <w:lang w:eastAsia="zh-CN"/>
              </w:rPr>
            </w:pPr>
            <w:r>
              <w:rPr>
                <w:rFonts w:hint="eastAsia" w:ascii="仿宋" w:hAnsi="仿宋" w:eastAsia="仿宋" w:cs="仿宋"/>
                <w:sz w:val="24"/>
                <w:lang w:eastAsia="zh-CN"/>
              </w:rPr>
              <w:t>搬运服务每人每天</w:t>
            </w:r>
          </w:p>
        </w:tc>
        <w:tc>
          <w:tcPr>
            <w:tcW w:w="6643" w:type="dxa"/>
            <w:tcBorders>
              <w:top w:val="single" w:color="000009" w:sz="4" w:space="0"/>
              <w:left w:val="single" w:color="000009" w:sz="4" w:space="0"/>
              <w:bottom w:val="single" w:color="000009" w:sz="4" w:space="0"/>
              <w:right w:val="single" w:color="000009" w:sz="4" w:space="0"/>
            </w:tcBorders>
            <w:noWrap w:val="0"/>
            <w:vAlign w:val="center"/>
          </w:tcPr>
          <w:p>
            <w:pPr>
              <w:pStyle w:val="119"/>
              <w:tabs>
                <w:tab w:val="left" w:pos="2673"/>
              </w:tabs>
              <w:spacing w:before="135"/>
              <w:ind w:left="93"/>
              <w:jc w:val="center"/>
              <w:rPr>
                <w:rFonts w:hint="eastAsia" w:ascii="仿宋" w:hAnsi="仿宋" w:eastAsia="仿宋" w:cs="仿宋"/>
                <w:sz w:val="24"/>
              </w:rPr>
            </w:pPr>
            <w:r>
              <w:rPr>
                <w:rFonts w:hint="eastAsia" w:ascii="仿宋" w:hAnsi="仿宋" w:eastAsia="仿宋" w:cs="仿宋"/>
                <w:sz w:val="24"/>
              </w:rPr>
              <w:t>小写       （大写：人民币    ）</w:t>
            </w:r>
          </w:p>
        </w:tc>
      </w:tr>
    </w:tbl>
    <w:p>
      <w:pPr>
        <w:spacing w:before="4"/>
        <w:rPr>
          <w:rFonts w:hint="eastAsia" w:ascii="仿宋" w:hAnsi="仿宋" w:eastAsia="仿宋" w:cs="仿宋"/>
          <w:sz w:val="9"/>
          <w:szCs w:val="9"/>
        </w:rPr>
      </w:pPr>
    </w:p>
    <w:p>
      <w:pPr>
        <w:spacing w:before="34" w:line="436" w:lineRule="auto"/>
        <w:ind w:left="212"/>
        <w:jc w:val="left"/>
        <w:rPr>
          <w:rFonts w:hint="eastAsia" w:ascii="仿宋" w:hAnsi="仿宋" w:eastAsia="仿宋" w:cs="仿宋"/>
          <w:szCs w:val="21"/>
        </w:rPr>
      </w:pPr>
      <w:r>
        <w:rPr>
          <w:rFonts w:hint="eastAsia" w:ascii="仿宋" w:hAnsi="仿宋" w:eastAsia="仿宋" w:cs="仿宋"/>
          <w:szCs w:val="21"/>
        </w:rPr>
        <w:t>注：</w:t>
      </w:r>
    </w:p>
    <w:p>
      <w:pPr>
        <w:spacing w:before="34" w:line="436" w:lineRule="auto"/>
        <w:ind w:left="212" w:firstLine="420" w:firstLineChars="200"/>
        <w:jc w:val="left"/>
        <w:rPr>
          <w:rFonts w:hint="eastAsia" w:ascii="仿宋" w:hAnsi="仿宋" w:eastAsia="仿宋" w:cs="仿宋"/>
          <w:szCs w:val="21"/>
        </w:rPr>
      </w:pPr>
      <w:r>
        <w:rPr>
          <w:rFonts w:hint="eastAsia" w:ascii="仿宋" w:hAnsi="仿宋" w:eastAsia="仿宋" w:cs="仿宋"/>
          <w:szCs w:val="21"/>
        </w:rPr>
        <w:t>人民币含税价，并包括完成本</w:t>
      </w:r>
      <w:r>
        <w:rPr>
          <w:rFonts w:hint="eastAsia" w:ascii="仿宋" w:hAnsi="仿宋" w:eastAsia="仿宋" w:cs="仿宋"/>
          <w:szCs w:val="21"/>
          <w:lang w:eastAsia="zh-CN"/>
        </w:rPr>
        <w:t>项目</w:t>
      </w:r>
      <w:r>
        <w:rPr>
          <w:rFonts w:hint="eastAsia" w:ascii="仿宋" w:hAnsi="仿宋" w:eastAsia="仿宋" w:cs="仿宋"/>
          <w:szCs w:val="21"/>
        </w:rPr>
        <w:t>所需所有费用。</w:t>
      </w:r>
    </w:p>
    <w:p>
      <w:pPr>
        <w:rPr>
          <w:rFonts w:hint="eastAsia" w:ascii="仿宋" w:hAnsi="仿宋" w:eastAsia="仿宋" w:cs="仿宋"/>
          <w:sz w:val="20"/>
          <w:szCs w:val="20"/>
        </w:rPr>
      </w:pPr>
    </w:p>
    <w:p>
      <w:pPr>
        <w:rPr>
          <w:rFonts w:hint="eastAsia" w:ascii="仿宋" w:hAnsi="仿宋" w:eastAsia="仿宋" w:cs="仿宋"/>
          <w:sz w:val="20"/>
          <w:szCs w:val="20"/>
        </w:rPr>
      </w:pPr>
    </w:p>
    <w:p>
      <w:pPr>
        <w:rPr>
          <w:rFonts w:hint="eastAsia" w:ascii="仿宋" w:hAnsi="仿宋" w:eastAsia="仿宋" w:cs="仿宋"/>
          <w:sz w:val="20"/>
          <w:szCs w:val="20"/>
        </w:rPr>
      </w:pPr>
    </w:p>
    <w:p>
      <w:pPr>
        <w:rPr>
          <w:rFonts w:hint="eastAsia" w:ascii="仿宋" w:hAnsi="仿宋" w:eastAsia="仿宋" w:cs="仿宋"/>
          <w:sz w:val="20"/>
          <w:szCs w:val="20"/>
        </w:rPr>
      </w:pPr>
    </w:p>
    <w:p>
      <w:pPr>
        <w:tabs>
          <w:tab w:val="left" w:pos="5515"/>
        </w:tabs>
        <w:spacing w:before="178"/>
        <w:ind w:left="212"/>
        <w:jc w:val="left"/>
        <w:rPr>
          <w:rFonts w:hint="eastAsia" w:ascii="仿宋" w:hAnsi="仿宋" w:eastAsia="仿宋" w:cs="仿宋"/>
          <w:szCs w:val="21"/>
        </w:rPr>
      </w:pPr>
      <w:r>
        <w:rPr>
          <w:rFonts w:hint="eastAsia" w:ascii="仿宋" w:hAnsi="仿宋" w:eastAsia="仿宋" w:cs="仿宋"/>
          <w:szCs w:val="21"/>
        </w:rPr>
        <w:t>法定代表人或委托代理人（签字）：</w:t>
      </w:r>
      <w:r>
        <w:rPr>
          <w:rFonts w:hint="eastAsia" w:ascii="仿宋" w:hAnsi="仿宋" w:eastAsia="仿宋" w:cs="仿宋"/>
          <w:szCs w:val="21"/>
          <w:u w:val="single" w:color="000000"/>
        </w:rPr>
        <w:t xml:space="preserve"> </w:t>
      </w:r>
      <w:r>
        <w:rPr>
          <w:rFonts w:hint="eastAsia" w:ascii="仿宋" w:hAnsi="仿宋" w:eastAsia="仿宋" w:cs="仿宋"/>
          <w:szCs w:val="21"/>
          <w:u w:val="single" w:color="000000"/>
        </w:rPr>
        <w:tab/>
      </w:r>
    </w:p>
    <w:p>
      <w:pPr>
        <w:spacing w:before="6"/>
        <w:rPr>
          <w:rFonts w:hint="eastAsia" w:ascii="仿宋" w:hAnsi="仿宋" w:eastAsia="仿宋" w:cs="仿宋"/>
          <w:sz w:val="16"/>
          <w:szCs w:val="16"/>
        </w:rPr>
      </w:pPr>
    </w:p>
    <w:p>
      <w:pPr>
        <w:tabs>
          <w:tab w:val="left" w:pos="5515"/>
        </w:tabs>
        <w:spacing w:before="34"/>
        <w:ind w:left="212"/>
        <w:jc w:val="left"/>
        <w:rPr>
          <w:rFonts w:hint="eastAsia" w:ascii="仿宋" w:hAnsi="仿宋" w:eastAsia="仿宋" w:cs="仿宋"/>
          <w:szCs w:val="21"/>
        </w:rPr>
      </w:pPr>
      <w:r>
        <w:rPr>
          <w:rFonts w:hint="eastAsia" w:ascii="仿宋" w:hAnsi="仿宋" w:eastAsia="仿宋" w:cs="仿宋"/>
          <w:szCs w:val="21"/>
        </w:rPr>
        <w:t>供应商名称（盖章）：</w:t>
      </w:r>
      <w:r>
        <w:rPr>
          <w:rFonts w:hint="eastAsia" w:ascii="仿宋" w:hAnsi="仿宋" w:eastAsia="仿宋" w:cs="仿宋"/>
          <w:szCs w:val="21"/>
          <w:u w:val="single" w:color="000000"/>
        </w:rPr>
        <w:t xml:space="preserve"> </w:t>
      </w:r>
      <w:r>
        <w:rPr>
          <w:rFonts w:hint="eastAsia" w:ascii="仿宋" w:hAnsi="仿宋" w:eastAsia="仿宋" w:cs="仿宋"/>
          <w:szCs w:val="21"/>
          <w:u w:val="single" w:color="000000"/>
        </w:rPr>
        <w:tab/>
      </w:r>
      <w:bookmarkStart w:id="263" w:name="_GoBack"/>
      <w:bookmarkEnd w:id="263"/>
    </w:p>
    <w:p>
      <w:pPr>
        <w:spacing w:before="6"/>
        <w:rPr>
          <w:rFonts w:hint="eastAsia" w:ascii="仿宋" w:hAnsi="仿宋" w:eastAsia="仿宋" w:cs="仿宋"/>
          <w:sz w:val="16"/>
          <w:szCs w:val="16"/>
        </w:rPr>
      </w:pPr>
    </w:p>
    <w:p>
      <w:pPr>
        <w:tabs>
          <w:tab w:val="left" w:pos="1369"/>
          <w:tab w:val="left" w:pos="2103"/>
          <w:tab w:val="left" w:pos="2732"/>
        </w:tabs>
        <w:spacing w:before="34"/>
        <w:ind w:left="212"/>
        <w:jc w:val="left"/>
        <w:rPr>
          <w:rFonts w:hint="eastAsia" w:ascii="仿宋" w:hAnsi="仿宋" w:eastAsia="仿宋" w:cs="仿宋"/>
          <w:spacing w:val="-1"/>
          <w:w w:val="95"/>
          <w:szCs w:val="21"/>
          <w:u w:val="single" w:color="000000"/>
        </w:rPr>
      </w:pPr>
      <w:r>
        <w:rPr>
          <w:rFonts w:hint="eastAsia" w:ascii="仿宋" w:hAnsi="仿宋" w:eastAsia="仿宋" w:cs="仿宋"/>
          <w:spacing w:val="1"/>
          <w:w w:val="95"/>
          <w:szCs w:val="21"/>
        </w:rPr>
        <w:t>日期：</w:t>
      </w:r>
      <w:r>
        <w:rPr>
          <w:rFonts w:hint="eastAsia" w:ascii="仿宋" w:hAnsi="仿宋" w:eastAsia="仿宋" w:cs="仿宋"/>
          <w:spacing w:val="1"/>
          <w:w w:val="95"/>
          <w:szCs w:val="21"/>
          <w:u w:val="single" w:color="000000"/>
        </w:rPr>
        <w:tab/>
      </w:r>
      <w:r>
        <w:rPr>
          <w:rFonts w:hint="eastAsia" w:ascii="仿宋" w:hAnsi="仿宋" w:eastAsia="仿宋" w:cs="仿宋"/>
          <w:spacing w:val="-1"/>
          <w:w w:val="95"/>
          <w:szCs w:val="21"/>
        </w:rPr>
        <w:t>年</w:t>
      </w:r>
      <w:r>
        <w:rPr>
          <w:rFonts w:hint="eastAsia" w:ascii="仿宋" w:hAnsi="仿宋" w:eastAsia="仿宋" w:cs="仿宋"/>
          <w:spacing w:val="-1"/>
          <w:w w:val="95"/>
          <w:szCs w:val="21"/>
          <w:u w:val="single" w:color="000000"/>
        </w:rPr>
        <w:tab/>
      </w:r>
      <w:r>
        <w:rPr>
          <w:rFonts w:hint="eastAsia" w:ascii="仿宋" w:hAnsi="仿宋" w:eastAsia="仿宋" w:cs="仿宋"/>
          <w:spacing w:val="-1"/>
          <w:w w:val="95"/>
          <w:szCs w:val="21"/>
        </w:rPr>
        <w:t>月</w:t>
      </w:r>
      <w:r>
        <w:rPr>
          <w:rFonts w:hint="eastAsia" w:ascii="仿宋" w:hAnsi="仿宋" w:eastAsia="仿宋" w:cs="仿宋"/>
          <w:spacing w:val="-1"/>
          <w:w w:val="95"/>
          <w:szCs w:val="21"/>
          <w:u w:val="single" w:color="000000"/>
        </w:rPr>
        <w:tab/>
      </w:r>
    </w:p>
    <w:p>
      <w:pPr>
        <w:pStyle w:val="2"/>
        <w:rPr>
          <w:rFonts w:hint="eastAsia"/>
        </w:rPr>
      </w:pPr>
    </w:p>
    <w:bookmarkEnd w:id="255"/>
    <w:bookmarkEnd w:id="256"/>
    <w:bookmarkEnd w:id="257"/>
    <w:bookmarkEnd w:id="258"/>
    <w:bookmarkEnd w:id="259"/>
    <w:bookmarkEnd w:id="260"/>
    <w:p>
      <w:pPr>
        <w:pStyle w:val="2"/>
        <w:rPr>
          <w:highlight w:val="none"/>
        </w:rPr>
      </w:pPr>
    </w:p>
    <w:p>
      <w:pPr>
        <w:pStyle w:val="45"/>
        <w:rPr>
          <w:rFonts w:hAnsi="宋体" w:cs="宋体"/>
          <w:b/>
          <w:color w:val="auto"/>
        </w:rPr>
      </w:pPr>
      <w:r>
        <w:rPr>
          <w:rFonts w:hint="eastAsia" w:hAnsi="宋体" w:cs="宋体"/>
          <w:b/>
          <w:color w:val="auto"/>
        </w:rPr>
        <w:t>注：此表不需装入申请文件中，请自备1-2份签字、盖章后带到谈判现场备用。</w:t>
      </w:r>
    </w:p>
    <w:p/>
    <w:sectPr>
      <w:headerReference r:id="rId6" w:type="default"/>
      <w:footerReference r:id="rId7" w:type="default"/>
      <w:pgSz w:w="11906" w:h="16838"/>
      <w:pgMar w:top="1418" w:right="1134" w:bottom="1134" w:left="1418" w:header="936" w:footer="720" w:gutter="0"/>
      <w:cols w:space="720" w:num="1"/>
      <w:docGrid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font-weight : 400">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全真簡粗明">
    <w:altName w:val="MingLiU"/>
    <w:panose1 w:val="00000000000000000000"/>
    <w:charset w:val="88"/>
    <w:family w:val="auto"/>
    <w:pitch w:val="default"/>
    <w:sig w:usb0="00000000" w:usb1="00000000" w:usb2="00000010" w:usb3="00000000" w:csb0="00100000" w:csb1="00000000"/>
  </w:font>
  <w:font w:name="MingLiU">
    <w:panose1 w:val="02020509000000000000"/>
    <w:charset w:val="88"/>
    <w:family w:val="auto"/>
    <w:pitch w:val="default"/>
    <w:sig w:usb0="A00002FF" w:usb1="28CFFCFA" w:usb2="00000016" w:usb3="00000000" w:csb0="00100001" w:csb1="00000000"/>
  </w:font>
  <w:font w:name="Arial Unicode MS">
    <w:altName w:val="宋体"/>
    <w:panose1 w:val="020B0604020202020204"/>
    <w:charset w:val="86"/>
    <w:family w:val="swiss"/>
    <w:pitch w:val="default"/>
    <w:sig w:usb0="00000000" w:usb1="00000000" w:usb2="0000003F" w:usb3="00000000" w:csb0="003F01FF" w:csb1="00000000"/>
  </w:font>
  <w:font w:name="等线 Light">
    <w:altName w:val="宋体"/>
    <w:panose1 w:val="00000000000000000000"/>
    <w:charset w:val="86"/>
    <w:family w:val="auto"/>
    <w:pitch w:val="default"/>
    <w:sig w:usb0="00000000" w:usb1="00000000" w:usb2="00000016" w:usb3="00000000" w:csb0="0004000F" w:csb1="00000000"/>
  </w:font>
  <w:font w:name="Adobe 仿宋 Std R">
    <w:altName w:val="仿宋"/>
    <w:panose1 w:val="00000000000000000000"/>
    <w:charset w:val="86"/>
    <w:family w:val="roman"/>
    <w:pitch w:val="default"/>
    <w:sig w:usb0="00000000" w:usb1="00000000" w:usb2="00000016" w:usb3="00000000" w:csb0="00060007"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2"/>
                            <w:jc w:val="center"/>
                          </w:pPr>
                          <w:r>
                            <w:fldChar w:fldCharType="begin"/>
                          </w:r>
                          <w:r>
                            <w:instrText xml:space="preserve"> PAGE   \* MERGEFORMAT </w:instrText>
                          </w:r>
                          <w:r>
                            <w:fldChar w:fldCharType="separate"/>
                          </w:r>
                          <w:r>
                            <w:rPr>
                              <w:lang w:val="zh-CN"/>
                            </w:rPr>
                            <w:t>2</w:t>
                          </w:r>
                          <w:r>
                            <w:rPr>
                              <w:lang w:val="zh-CN"/>
                            </w:rP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2Xt0c0BAACn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n5ijMnLD345fu3y49fl59f2Zsk&#10;Tx+woqqHQHVxuPMDLc0cRwom1kMLNn2JD6M8iXu+iquGyGS6tF6t1yWlJOVmh/CLx+sBML5V3rJk&#10;1Bzo9bKo4vQe41g6l6Ruzt9rY/ILGvdXgDDHiMorMN1OTMaJkxWH/TDR2/vmTOx6WoOaO9p6zsw7&#10;RyqnjZkNmI39bBwD6ENHgy7zlBhuj5FGypOmDiMsMUwOvV/mOu1aWpA//Vz1+H9t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E2Xt0c0BAACnAwAADgAAAAAAAAABACAAAAAeAQAAZHJzL2Uy&#10;b0RvYy54bWxQSwUGAAAAAAYABgBZAQAAXQUAAAAA&#10;">
              <v:fill on="f" focussize="0,0"/>
              <v:stroke on="f"/>
              <v:imagedata o:title=""/>
              <o:lock v:ext="edit" aspectratio="f"/>
              <v:textbox inset="0mm,0mm,0mm,0mm" style="mso-fit-shape-to-text:t;">
                <w:txbxContent>
                  <w:p>
                    <w:pPr>
                      <w:pStyle w:val="22"/>
                      <w:jc w:val="center"/>
                    </w:pPr>
                    <w:r>
                      <w:fldChar w:fldCharType="begin"/>
                    </w:r>
                    <w:r>
                      <w:instrText xml:space="preserve"> PAGE   \* MERGEFORMAT </w:instrText>
                    </w:r>
                    <w:r>
                      <w:fldChar w:fldCharType="separate"/>
                    </w:r>
                    <w:r>
                      <w:rPr>
                        <w:lang w:val="zh-CN"/>
                      </w:rPr>
                      <w:t>2</w:t>
                    </w:r>
                    <w:r>
                      <w:rPr>
                        <w:lang w:val="zh-CN"/>
                      </w:rPr>
                      <w:fldChar w:fldCharType="end"/>
                    </w:r>
                  </w:p>
                </w:txbxContent>
              </v:textbox>
            </v:shape>
          </w:pict>
        </mc:Fallback>
      </mc:AlternateContent>
    </w:r>
  </w:p>
  <w:p>
    <w:pPr>
      <w:pStyle w:val="22"/>
      <w:tabs>
        <w:tab w:val="center" w:pos="4497"/>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41"/>
      </w:rPr>
    </w:pPr>
    <w:r>
      <w:fldChar w:fldCharType="begin"/>
    </w:r>
    <w:r>
      <w:rPr>
        <w:rStyle w:val="41"/>
      </w:rPr>
      <w:instrText xml:space="preserve">PAGE  </w:instrText>
    </w:r>
    <w:r>
      <w:fldChar w:fldCharType="separate"/>
    </w:r>
    <w:r>
      <w:rPr>
        <w:rStyle w:val="41"/>
      </w:rPr>
      <w:t>3</w:t>
    </w:r>
    <w:r>
      <w:fldChar w:fldCharType="end"/>
    </w:r>
  </w:p>
  <w:p>
    <w:pPr>
      <w:pStyle w:val="22"/>
      <w:ind w:right="360"/>
      <w:rPr>
        <w:sz w:val="21"/>
      </w:rP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57150" cy="147955"/>
              <wp:effectExtent l="0" t="0" r="0" b="0"/>
              <wp:wrapSquare wrapText="bothSides"/>
              <wp:docPr id="3" name="文本框 1026"/>
              <wp:cNvGraphicFramePr/>
              <a:graphic xmlns:a="http://schemas.openxmlformats.org/drawingml/2006/main">
                <a:graphicData uri="http://schemas.microsoft.com/office/word/2010/wordprocessingShape">
                  <wps:wsp>
                    <wps:cNvSpPr txBox="1"/>
                    <wps:spPr>
                      <a:xfrm>
                        <a:off x="0" y="0"/>
                        <a:ext cx="57150" cy="147955"/>
                      </a:xfrm>
                      <a:prstGeom prst="rect">
                        <a:avLst/>
                      </a:prstGeom>
                      <a:noFill/>
                      <a:ln>
                        <a:noFill/>
                      </a:ln>
                      <a:effectLst/>
                    </wps:spPr>
                    <wps:txbx>
                      <w:txbxContent>
                        <w:p>
                          <w:pPr>
                            <w:pStyle w:val="22"/>
                            <w:rPr>
                              <w:rStyle w:val="41"/>
                            </w:rPr>
                          </w:pPr>
                          <w:r>
                            <w:fldChar w:fldCharType="begin"/>
                          </w:r>
                          <w:r>
                            <w:rPr>
                              <w:rStyle w:val="41"/>
                            </w:rPr>
                            <w:instrText xml:space="preserve">PAGE  </w:instrText>
                          </w:r>
                          <w:r>
                            <w:fldChar w:fldCharType="separate"/>
                          </w:r>
                          <w:r>
                            <w:rPr>
                              <w:rStyle w:val="41"/>
                            </w:rPr>
                            <w:t>3</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1.65pt;width:4.5pt;mso-position-horizontal:center;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&#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bQkGzQAAAAAgEAAA8AAAAAAAAAAQAgAAAAIgAAAGRy&#10;cy9kb3ducmV2LnhtbFBLAQIUABQAAAAIAIdO4kA9ICVg1AEAAKcDAAAOAAAAAAAAAAEAIAAAAB8B&#10;AABkcnMvZTJvRG9jLnhtbFBLBQYAAAAABgAGAFkBAABlBQAAAAA=&#10;">
              <v:fill on="f" focussize="0,0"/>
              <v:stroke on="f"/>
              <v:imagedata o:title=""/>
              <o:lock v:ext="edit" aspectratio="f"/>
              <v:textbox inset="0mm,0mm,0mm,0mm" style="mso-fit-shape-to-text:t;">
                <w:txbxContent>
                  <w:p>
                    <w:pPr>
                      <w:pStyle w:val="22"/>
                      <w:rPr>
                        <w:rStyle w:val="41"/>
                      </w:rPr>
                    </w:pPr>
                    <w:r>
                      <w:fldChar w:fldCharType="begin"/>
                    </w:r>
                    <w:r>
                      <w:rPr>
                        <w:rStyle w:val="41"/>
                      </w:rPr>
                      <w:instrText xml:space="preserve">PAGE  </w:instrText>
                    </w:r>
                    <w:r>
                      <w:fldChar w:fldCharType="separate"/>
                    </w:r>
                    <w:r>
                      <w:rPr>
                        <w:rStyle w:val="41"/>
                      </w:rPr>
                      <w:t>3</w:t>
                    </w:r>
                    <w:r>
                      <w:fldChar w:fldCharType="end"/>
                    </w:r>
                  </w:p>
                </w:txbxContent>
              </v:textbox>
              <w10:wrap type="square"/>
            </v:shape>
          </w:pict>
        </mc:Fallback>
      </mc:AlternateContent>
    </w: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33350" cy="172720"/>
              <wp:effectExtent l="0" t="0" r="0" b="0"/>
              <wp:wrapSquare wrapText="bothSides"/>
              <wp:docPr id="5" name="文本框 1027"/>
              <wp:cNvGraphicFramePr/>
              <a:graphic xmlns:a="http://schemas.openxmlformats.org/drawingml/2006/main">
                <a:graphicData uri="http://schemas.microsoft.com/office/word/2010/wordprocessingShape">
                  <wps:wsp>
                    <wps:cNvSpPr txBox="1"/>
                    <wps:spPr>
                      <a:xfrm>
                        <a:off x="0" y="0"/>
                        <a:ext cx="133350" cy="172720"/>
                      </a:xfrm>
                      <a:prstGeom prst="rect">
                        <a:avLst/>
                      </a:prstGeom>
                      <a:noFill/>
                      <a:ln>
                        <a:noFill/>
                      </a:ln>
                      <a:effectLst/>
                    </wps:spPr>
                    <wps:txbx>
                      <w:txbxContent>
                        <w:p>
                          <w:pPr>
                            <w:pStyle w:val="22"/>
                            <w:rPr>
                              <w:rStyle w:val="41"/>
                              <w:sz w:val="21"/>
                            </w:rPr>
                          </w:pPr>
                          <w:r>
                            <w:rPr>
                              <w:sz w:val="21"/>
                            </w:rPr>
                            <w:fldChar w:fldCharType="begin"/>
                          </w:r>
                          <w:r>
                            <w:rPr>
                              <w:rStyle w:val="41"/>
                              <w:sz w:val="21"/>
                            </w:rPr>
                            <w:instrText xml:space="preserve">PAGE  </w:instrText>
                          </w:r>
                          <w:r>
                            <w:rPr>
                              <w:sz w:val="21"/>
                            </w:rPr>
                            <w:fldChar w:fldCharType="separate"/>
                          </w:r>
                          <w:r>
                            <w:rPr>
                              <w:rStyle w:val="41"/>
                              <w:sz w:val="21"/>
                            </w:rPr>
                            <w:t>3</w:t>
                          </w:r>
                          <w:r>
                            <w:rPr>
                              <w:sz w:val="21"/>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3.6pt;width:10.5pt;mso-position-horizontal:center;mso-position-horizontal-relative:margin;mso-wrap-distance-bottom:0pt;mso-wrap-distance-left:0pt;mso-wrap-distance-right:0pt;mso-wrap-distance-top:0pt;mso-wrap-style:none;z-index:251661312;mso-width-relative:page;mso-height-relative:page;" filled="f" stroked="f" coordsize="21600,21600" o:gfxdata="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&#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KrLlHPAAAAAwEAAA8AAAAAAAAAAQAgAAAAIgAAAGRy&#10;cy9kb3ducmV2LnhtbFBLAQIUABQAAAAIAIdO4kDp/zYM1QEAAKgDAAAOAAAAAAAAAAEAIAAAAB4B&#10;AABkcnMvZTJvRG9jLnhtbFBLBQYAAAAABgAGAFkBAABlBQAAAAA=&#10;">
              <v:fill on="f" focussize="0,0"/>
              <v:stroke on="f"/>
              <v:imagedata o:title=""/>
              <o:lock v:ext="edit" aspectratio="f"/>
              <v:textbox inset="0mm,0mm,0mm,0mm" style="mso-fit-shape-to-text:t;">
                <w:txbxContent>
                  <w:p>
                    <w:pPr>
                      <w:pStyle w:val="22"/>
                      <w:rPr>
                        <w:rStyle w:val="41"/>
                        <w:sz w:val="21"/>
                      </w:rPr>
                    </w:pPr>
                    <w:r>
                      <w:rPr>
                        <w:sz w:val="21"/>
                      </w:rPr>
                      <w:fldChar w:fldCharType="begin"/>
                    </w:r>
                    <w:r>
                      <w:rPr>
                        <w:rStyle w:val="41"/>
                        <w:sz w:val="21"/>
                      </w:rPr>
                      <w:instrText xml:space="preserve">PAGE  </w:instrText>
                    </w:r>
                    <w:r>
                      <w:rPr>
                        <w:sz w:val="21"/>
                      </w:rPr>
                      <w:fldChar w:fldCharType="separate"/>
                    </w:r>
                    <w:r>
                      <w:rPr>
                        <w:rStyle w:val="41"/>
                        <w:sz w:val="21"/>
                      </w:rPr>
                      <w:t>3</w:t>
                    </w:r>
                    <w:r>
                      <w:rPr>
                        <w:sz w:val="21"/>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ge">
                <wp:posOffset>10058400</wp:posOffset>
              </wp:positionV>
              <wp:extent cx="313055" cy="152400"/>
              <wp:effectExtent l="0" t="0" r="0" b="0"/>
              <wp:wrapNone/>
              <wp:docPr id="9" name="文本框 20"/>
              <wp:cNvGraphicFramePr/>
              <a:graphic xmlns:a="http://schemas.openxmlformats.org/drawingml/2006/main">
                <a:graphicData uri="http://schemas.microsoft.com/office/word/2010/wordprocessingShape">
                  <wps:wsp>
                    <wps:cNvSpPr txBox="1"/>
                    <wps:spPr>
                      <a:xfrm>
                        <a:off x="0" y="0"/>
                        <a:ext cx="313055" cy="152400"/>
                      </a:xfrm>
                      <a:prstGeom prst="rect">
                        <a:avLst/>
                      </a:prstGeom>
                      <a:noFill/>
                      <a:ln>
                        <a:noFill/>
                      </a:ln>
                      <a:effectLst/>
                    </wps:spPr>
                    <wps:txbx>
                      <w:txbxContent>
                        <w:p>
                          <w:r>
                            <w:rPr>
                              <w:b/>
                              <w:sz w:val="18"/>
                            </w:rPr>
                            <w:fldChar w:fldCharType="begin"/>
                          </w:r>
                          <w:r>
                            <w:rPr>
                              <w:b/>
                              <w:sz w:val="18"/>
                            </w:rPr>
                            <w:instrText xml:space="preserve"> PAGE  \* Arabic  \* MERGEFORMAT </w:instrText>
                          </w:r>
                          <w:r>
                            <w:rPr>
                              <w:b/>
                              <w:sz w:val="18"/>
                            </w:rPr>
                            <w:fldChar w:fldCharType="separate"/>
                          </w:r>
                          <w:r>
                            <w:rPr>
                              <w:b/>
                              <w:sz w:val="18"/>
                            </w:rPr>
                            <w:t>51</w:t>
                          </w:r>
                          <w:r>
                            <w:rPr>
                              <w:b/>
                              <w:sz w:val="18"/>
                            </w:rPr>
                            <w:fldChar w:fldCharType="end"/>
                          </w:r>
                        </w:p>
                      </w:txbxContent>
                    </wps:txbx>
                    <wps:bodyPr lIns="0" tIns="0" rIns="0" bIns="0" upright="1"/>
                  </wps:wsp>
                </a:graphicData>
              </a:graphic>
            </wp:anchor>
          </w:drawing>
        </mc:Choice>
        <mc:Fallback>
          <w:pict>
            <v:shape id="文本框 20" o:spid="_x0000_s1026" o:spt="202" type="#_x0000_t202" style="position:absolute;left:0pt;margin-top:792pt;height:12pt;width:24.65pt;mso-position-horizontal:center;mso-position-horizontal-relative:margin;mso-position-vertical-relative:page;z-index:251662336;mso-width-relative:page;mso-height-relative:page;" filled="f" stroked="f" coordsize="21600,21600" o:gfxdata="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1Q4mz9cAAAAJAQAADwAAAAAAAAABACAAAAAiAAAAZHJzL2Rvd25yZXYueG1s&#10;UEsBAhQAFAAAAAgAh07iQG6VMEfAAQAAgAMAAA4AAAAAAAAAAQAgAAAAJgEAAGRycy9lMm9Eb2Mu&#10;eG1sUEsFBgAAAAAGAAYAWQEAAFgFAAAAAA==&#10;">
              <v:fill on="f" focussize="0,0"/>
              <v:stroke on="f"/>
              <v:imagedata o:title=""/>
              <o:lock v:ext="edit" aspectratio="f"/>
              <v:textbox inset="0mm,0mm,0mm,0mm">
                <w:txbxContent>
                  <w:p>
                    <w:r>
                      <w:rPr>
                        <w:b/>
                        <w:sz w:val="18"/>
                      </w:rPr>
                      <w:fldChar w:fldCharType="begin"/>
                    </w:r>
                    <w:r>
                      <w:rPr>
                        <w:b/>
                        <w:sz w:val="18"/>
                      </w:rPr>
                      <w:instrText xml:space="preserve"> PAGE  \* Arabic  \* MERGEFORMAT </w:instrText>
                    </w:r>
                    <w:r>
                      <w:rPr>
                        <w:b/>
                        <w:sz w:val="18"/>
                      </w:rPr>
                      <w:fldChar w:fldCharType="separate"/>
                    </w:r>
                    <w:r>
                      <w:rPr>
                        <w:b/>
                        <w:sz w:val="18"/>
                      </w:rPr>
                      <w:t>51</w:t>
                    </w:r>
                    <w:r>
                      <w:rPr>
                        <w:b/>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r>
      <w:tab/>
    </w: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6B529"/>
    <w:multiLevelType w:val="singleLevel"/>
    <w:tmpl w:val="87F6B529"/>
    <w:lvl w:ilvl="0" w:tentative="0">
      <w:start w:val="3"/>
      <w:numFmt w:val="decimal"/>
      <w:suff w:val="nothing"/>
      <w:lvlText w:val="（%1）"/>
      <w:lvlJc w:val="left"/>
    </w:lvl>
  </w:abstractNum>
  <w:abstractNum w:abstractNumId="1">
    <w:nsid w:val="D1195DD7"/>
    <w:multiLevelType w:val="singleLevel"/>
    <w:tmpl w:val="D1195DD7"/>
    <w:lvl w:ilvl="0" w:tentative="0">
      <w:start w:val="8"/>
      <w:numFmt w:val="chineseCounting"/>
      <w:suff w:val="nothing"/>
      <w:lvlText w:val="%1、"/>
      <w:lvlJc w:val="left"/>
      <w:rPr>
        <w:rFonts w:hint="eastAsia"/>
      </w:rPr>
    </w:lvl>
  </w:abstractNum>
  <w:abstractNum w:abstractNumId="2">
    <w:nsid w:val="697EC225"/>
    <w:multiLevelType w:val="singleLevel"/>
    <w:tmpl w:val="697EC225"/>
    <w:lvl w:ilvl="0" w:tentative="0">
      <w:start w:val="5"/>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NotTrackMoves/>
  <w:documentProtection w:enforcement="0"/>
  <w:defaultTabStop w:val="420"/>
  <w:drawingGridHorizontalSpacing w:val="106"/>
  <w:drawingGridVerticalSpacing w:val="167"/>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078"/>
    <w:rsid w:val="00001002"/>
    <w:rsid w:val="000011CB"/>
    <w:rsid w:val="00001446"/>
    <w:rsid w:val="00003C6A"/>
    <w:rsid w:val="00005B36"/>
    <w:rsid w:val="00005D8D"/>
    <w:rsid w:val="000068D4"/>
    <w:rsid w:val="00006970"/>
    <w:rsid w:val="000079FD"/>
    <w:rsid w:val="00007DAC"/>
    <w:rsid w:val="0001197D"/>
    <w:rsid w:val="00011D87"/>
    <w:rsid w:val="00011EAE"/>
    <w:rsid w:val="0001294D"/>
    <w:rsid w:val="00012BF0"/>
    <w:rsid w:val="00012FDA"/>
    <w:rsid w:val="000132E8"/>
    <w:rsid w:val="000134BF"/>
    <w:rsid w:val="0001363B"/>
    <w:rsid w:val="00014CDE"/>
    <w:rsid w:val="000160BD"/>
    <w:rsid w:val="00016257"/>
    <w:rsid w:val="000209BE"/>
    <w:rsid w:val="00020E3E"/>
    <w:rsid w:val="00020F8F"/>
    <w:rsid w:val="0002152E"/>
    <w:rsid w:val="00021CFE"/>
    <w:rsid w:val="000221CE"/>
    <w:rsid w:val="000223B7"/>
    <w:rsid w:val="00022619"/>
    <w:rsid w:val="00022B2B"/>
    <w:rsid w:val="0002310E"/>
    <w:rsid w:val="000246B1"/>
    <w:rsid w:val="00024C98"/>
    <w:rsid w:val="00024E77"/>
    <w:rsid w:val="000250F8"/>
    <w:rsid w:val="000252EB"/>
    <w:rsid w:val="000258EA"/>
    <w:rsid w:val="00025CA2"/>
    <w:rsid w:val="00026185"/>
    <w:rsid w:val="000265E6"/>
    <w:rsid w:val="00026CE2"/>
    <w:rsid w:val="00026EFC"/>
    <w:rsid w:val="00027AFD"/>
    <w:rsid w:val="00027BB9"/>
    <w:rsid w:val="00027D63"/>
    <w:rsid w:val="0003100E"/>
    <w:rsid w:val="00031272"/>
    <w:rsid w:val="00031CE7"/>
    <w:rsid w:val="00033059"/>
    <w:rsid w:val="00033460"/>
    <w:rsid w:val="000336DE"/>
    <w:rsid w:val="000337E5"/>
    <w:rsid w:val="00033EA3"/>
    <w:rsid w:val="00034D47"/>
    <w:rsid w:val="000358B3"/>
    <w:rsid w:val="00037CCD"/>
    <w:rsid w:val="00041C4C"/>
    <w:rsid w:val="00041E27"/>
    <w:rsid w:val="00043217"/>
    <w:rsid w:val="0004376D"/>
    <w:rsid w:val="000457FF"/>
    <w:rsid w:val="00046621"/>
    <w:rsid w:val="00046678"/>
    <w:rsid w:val="00046D94"/>
    <w:rsid w:val="0005047D"/>
    <w:rsid w:val="00050FC2"/>
    <w:rsid w:val="000523E3"/>
    <w:rsid w:val="00052EFD"/>
    <w:rsid w:val="000532A4"/>
    <w:rsid w:val="00054243"/>
    <w:rsid w:val="0005486C"/>
    <w:rsid w:val="00054CDC"/>
    <w:rsid w:val="0005507C"/>
    <w:rsid w:val="00055350"/>
    <w:rsid w:val="00055435"/>
    <w:rsid w:val="00055938"/>
    <w:rsid w:val="00056FC0"/>
    <w:rsid w:val="00057098"/>
    <w:rsid w:val="0005722C"/>
    <w:rsid w:val="00057CFB"/>
    <w:rsid w:val="000601B7"/>
    <w:rsid w:val="000612E4"/>
    <w:rsid w:val="00061F4A"/>
    <w:rsid w:val="0006202D"/>
    <w:rsid w:val="00062628"/>
    <w:rsid w:val="00062C30"/>
    <w:rsid w:val="00065E27"/>
    <w:rsid w:val="00066173"/>
    <w:rsid w:val="00066854"/>
    <w:rsid w:val="000669BA"/>
    <w:rsid w:val="00067256"/>
    <w:rsid w:val="00070943"/>
    <w:rsid w:val="000729AE"/>
    <w:rsid w:val="00072B3A"/>
    <w:rsid w:val="000738B1"/>
    <w:rsid w:val="00073A10"/>
    <w:rsid w:val="00074C43"/>
    <w:rsid w:val="00074DDD"/>
    <w:rsid w:val="00076F83"/>
    <w:rsid w:val="00076F91"/>
    <w:rsid w:val="0007779E"/>
    <w:rsid w:val="00077AC3"/>
    <w:rsid w:val="00077ADD"/>
    <w:rsid w:val="00077E9E"/>
    <w:rsid w:val="000809C7"/>
    <w:rsid w:val="000811C1"/>
    <w:rsid w:val="00081D56"/>
    <w:rsid w:val="000829E6"/>
    <w:rsid w:val="00083177"/>
    <w:rsid w:val="00083B30"/>
    <w:rsid w:val="000841A7"/>
    <w:rsid w:val="000849A9"/>
    <w:rsid w:val="00085215"/>
    <w:rsid w:val="000853C9"/>
    <w:rsid w:val="00085B88"/>
    <w:rsid w:val="00085E40"/>
    <w:rsid w:val="00086310"/>
    <w:rsid w:val="0008673E"/>
    <w:rsid w:val="0008714E"/>
    <w:rsid w:val="00087A11"/>
    <w:rsid w:val="00087BE0"/>
    <w:rsid w:val="00087D3B"/>
    <w:rsid w:val="0009112E"/>
    <w:rsid w:val="00092DA2"/>
    <w:rsid w:val="000931CC"/>
    <w:rsid w:val="00095144"/>
    <w:rsid w:val="00095612"/>
    <w:rsid w:val="00095B9D"/>
    <w:rsid w:val="00096411"/>
    <w:rsid w:val="000A00BD"/>
    <w:rsid w:val="000A0317"/>
    <w:rsid w:val="000A0323"/>
    <w:rsid w:val="000A0E3E"/>
    <w:rsid w:val="000A23D4"/>
    <w:rsid w:val="000A27D9"/>
    <w:rsid w:val="000A362B"/>
    <w:rsid w:val="000A3742"/>
    <w:rsid w:val="000A4DD1"/>
    <w:rsid w:val="000A59D0"/>
    <w:rsid w:val="000A7080"/>
    <w:rsid w:val="000A7560"/>
    <w:rsid w:val="000A7740"/>
    <w:rsid w:val="000B0046"/>
    <w:rsid w:val="000B0501"/>
    <w:rsid w:val="000B0ED3"/>
    <w:rsid w:val="000B12FB"/>
    <w:rsid w:val="000B1789"/>
    <w:rsid w:val="000B30D0"/>
    <w:rsid w:val="000B35EC"/>
    <w:rsid w:val="000B6445"/>
    <w:rsid w:val="000B69CB"/>
    <w:rsid w:val="000B69CC"/>
    <w:rsid w:val="000B70F1"/>
    <w:rsid w:val="000C07B2"/>
    <w:rsid w:val="000C161D"/>
    <w:rsid w:val="000C1939"/>
    <w:rsid w:val="000C1A22"/>
    <w:rsid w:val="000C20E8"/>
    <w:rsid w:val="000C321A"/>
    <w:rsid w:val="000C347E"/>
    <w:rsid w:val="000C3BBB"/>
    <w:rsid w:val="000C3BBF"/>
    <w:rsid w:val="000C431F"/>
    <w:rsid w:val="000C4415"/>
    <w:rsid w:val="000C44A1"/>
    <w:rsid w:val="000C51BC"/>
    <w:rsid w:val="000C5564"/>
    <w:rsid w:val="000C57AE"/>
    <w:rsid w:val="000C5969"/>
    <w:rsid w:val="000C59A2"/>
    <w:rsid w:val="000C5A62"/>
    <w:rsid w:val="000C708A"/>
    <w:rsid w:val="000D0296"/>
    <w:rsid w:val="000D06C6"/>
    <w:rsid w:val="000D2DE8"/>
    <w:rsid w:val="000D337B"/>
    <w:rsid w:val="000D3C3F"/>
    <w:rsid w:val="000D423F"/>
    <w:rsid w:val="000D426D"/>
    <w:rsid w:val="000D43FD"/>
    <w:rsid w:val="000D452F"/>
    <w:rsid w:val="000D4881"/>
    <w:rsid w:val="000D5253"/>
    <w:rsid w:val="000D5635"/>
    <w:rsid w:val="000D5651"/>
    <w:rsid w:val="000D5B73"/>
    <w:rsid w:val="000D6A7E"/>
    <w:rsid w:val="000D6B16"/>
    <w:rsid w:val="000D6F07"/>
    <w:rsid w:val="000D79ED"/>
    <w:rsid w:val="000E078B"/>
    <w:rsid w:val="000E08AC"/>
    <w:rsid w:val="000E0C51"/>
    <w:rsid w:val="000E1274"/>
    <w:rsid w:val="000E235B"/>
    <w:rsid w:val="000E3C98"/>
    <w:rsid w:val="000E3D15"/>
    <w:rsid w:val="000E3E1E"/>
    <w:rsid w:val="000E4D5C"/>
    <w:rsid w:val="000E5530"/>
    <w:rsid w:val="000E78D0"/>
    <w:rsid w:val="000F0DC5"/>
    <w:rsid w:val="000F150F"/>
    <w:rsid w:val="000F1920"/>
    <w:rsid w:val="000F23ED"/>
    <w:rsid w:val="000F2705"/>
    <w:rsid w:val="000F2A32"/>
    <w:rsid w:val="000F3C0D"/>
    <w:rsid w:val="000F52A2"/>
    <w:rsid w:val="000F52B3"/>
    <w:rsid w:val="000F547C"/>
    <w:rsid w:val="000F5867"/>
    <w:rsid w:val="000F6A09"/>
    <w:rsid w:val="000F79EC"/>
    <w:rsid w:val="000F7E46"/>
    <w:rsid w:val="00101C03"/>
    <w:rsid w:val="00102CF5"/>
    <w:rsid w:val="00103224"/>
    <w:rsid w:val="001042FD"/>
    <w:rsid w:val="00104588"/>
    <w:rsid w:val="00105395"/>
    <w:rsid w:val="001054A2"/>
    <w:rsid w:val="001067D5"/>
    <w:rsid w:val="00107558"/>
    <w:rsid w:val="00107BA2"/>
    <w:rsid w:val="00110158"/>
    <w:rsid w:val="001105E0"/>
    <w:rsid w:val="001108C3"/>
    <w:rsid w:val="0011095B"/>
    <w:rsid w:val="00110AA0"/>
    <w:rsid w:val="00110AB0"/>
    <w:rsid w:val="0011172D"/>
    <w:rsid w:val="00112C34"/>
    <w:rsid w:val="001134FB"/>
    <w:rsid w:val="00113888"/>
    <w:rsid w:val="001144B1"/>
    <w:rsid w:val="001160A3"/>
    <w:rsid w:val="0011633C"/>
    <w:rsid w:val="00121F62"/>
    <w:rsid w:val="00121FC3"/>
    <w:rsid w:val="001220EC"/>
    <w:rsid w:val="001231F7"/>
    <w:rsid w:val="001246FF"/>
    <w:rsid w:val="00125219"/>
    <w:rsid w:val="0012606E"/>
    <w:rsid w:val="001261E8"/>
    <w:rsid w:val="001263AB"/>
    <w:rsid w:val="00126405"/>
    <w:rsid w:val="00126520"/>
    <w:rsid w:val="00127094"/>
    <w:rsid w:val="00130AC9"/>
    <w:rsid w:val="00130EE0"/>
    <w:rsid w:val="0013202C"/>
    <w:rsid w:val="00132D07"/>
    <w:rsid w:val="00134782"/>
    <w:rsid w:val="00134906"/>
    <w:rsid w:val="0013599E"/>
    <w:rsid w:val="00136131"/>
    <w:rsid w:val="00136307"/>
    <w:rsid w:val="00136664"/>
    <w:rsid w:val="001374DB"/>
    <w:rsid w:val="00137AC9"/>
    <w:rsid w:val="00137ADA"/>
    <w:rsid w:val="00141A2E"/>
    <w:rsid w:val="00141CE8"/>
    <w:rsid w:val="001421FB"/>
    <w:rsid w:val="00142CFE"/>
    <w:rsid w:val="00143B6E"/>
    <w:rsid w:val="00145252"/>
    <w:rsid w:val="00145A44"/>
    <w:rsid w:val="00146080"/>
    <w:rsid w:val="001475CE"/>
    <w:rsid w:val="00147658"/>
    <w:rsid w:val="00152A68"/>
    <w:rsid w:val="00153336"/>
    <w:rsid w:val="0015353E"/>
    <w:rsid w:val="00153D1F"/>
    <w:rsid w:val="00153D81"/>
    <w:rsid w:val="00156D1D"/>
    <w:rsid w:val="001571E7"/>
    <w:rsid w:val="00157A81"/>
    <w:rsid w:val="001611AB"/>
    <w:rsid w:val="00162E7D"/>
    <w:rsid w:val="00162EC2"/>
    <w:rsid w:val="00162FD2"/>
    <w:rsid w:val="00163C40"/>
    <w:rsid w:val="00163DE6"/>
    <w:rsid w:val="00165C13"/>
    <w:rsid w:val="001664C4"/>
    <w:rsid w:val="001667CA"/>
    <w:rsid w:val="00170657"/>
    <w:rsid w:val="00170E3F"/>
    <w:rsid w:val="001733A1"/>
    <w:rsid w:val="0017360D"/>
    <w:rsid w:val="00173A5D"/>
    <w:rsid w:val="00173CF6"/>
    <w:rsid w:val="001748BE"/>
    <w:rsid w:val="00174B44"/>
    <w:rsid w:val="001750C3"/>
    <w:rsid w:val="001756EE"/>
    <w:rsid w:val="00176393"/>
    <w:rsid w:val="00176624"/>
    <w:rsid w:val="001803EF"/>
    <w:rsid w:val="001809F6"/>
    <w:rsid w:val="00181143"/>
    <w:rsid w:val="00181E81"/>
    <w:rsid w:val="00182167"/>
    <w:rsid w:val="001823CB"/>
    <w:rsid w:val="0018303B"/>
    <w:rsid w:val="001838B8"/>
    <w:rsid w:val="00183C2B"/>
    <w:rsid w:val="001840A2"/>
    <w:rsid w:val="001847DE"/>
    <w:rsid w:val="001848F9"/>
    <w:rsid w:val="00185618"/>
    <w:rsid w:val="001862EA"/>
    <w:rsid w:val="00186C38"/>
    <w:rsid w:val="001876E8"/>
    <w:rsid w:val="001902DE"/>
    <w:rsid w:val="00191AA6"/>
    <w:rsid w:val="00191C6A"/>
    <w:rsid w:val="00191D18"/>
    <w:rsid w:val="0019249A"/>
    <w:rsid w:val="00192BD4"/>
    <w:rsid w:val="0019410F"/>
    <w:rsid w:val="0019507D"/>
    <w:rsid w:val="001950CF"/>
    <w:rsid w:val="00196105"/>
    <w:rsid w:val="00196A91"/>
    <w:rsid w:val="00197475"/>
    <w:rsid w:val="001A08A4"/>
    <w:rsid w:val="001A0C3B"/>
    <w:rsid w:val="001A1A2C"/>
    <w:rsid w:val="001A1CAC"/>
    <w:rsid w:val="001A1F37"/>
    <w:rsid w:val="001A3512"/>
    <w:rsid w:val="001A3B0A"/>
    <w:rsid w:val="001A4262"/>
    <w:rsid w:val="001A42D3"/>
    <w:rsid w:val="001A4349"/>
    <w:rsid w:val="001A46B4"/>
    <w:rsid w:val="001A5369"/>
    <w:rsid w:val="001A5623"/>
    <w:rsid w:val="001A5832"/>
    <w:rsid w:val="001A5A84"/>
    <w:rsid w:val="001A62E2"/>
    <w:rsid w:val="001A6B31"/>
    <w:rsid w:val="001B0D5C"/>
    <w:rsid w:val="001B111C"/>
    <w:rsid w:val="001B1579"/>
    <w:rsid w:val="001B1D60"/>
    <w:rsid w:val="001B2FF5"/>
    <w:rsid w:val="001B3852"/>
    <w:rsid w:val="001B38EC"/>
    <w:rsid w:val="001B3B26"/>
    <w:rsid w:val="001B5214"/>
    <w:rsid w:val="001B5E3F"/>
    <w:rsid w:val="001B6246"/>
    <w:rsid w:val="001B669C"/>
    <w:rsid w:val="001B67E5"/>
    <w:rsid w:val="001B6C14"/>
    <w:rsid w:val="001B740E"/>
    <w:rsid w:val="001C091F"/>
    <w:rsid w:val="001C1205"/>
    <w:rsid w:val="001C29B7"/>
    <w:rsid w:val="001C29C4"/>
    <w:rsid w:val="001C2B37"/>
    <w:rsid w:val="001C3049"/>
    <w:rsid w:val="001C58D6"/>
    <w:rsid w:val="001D0917"/>
    <w:rsid w:val="001D0957"/>
    <w:rsid w:val="001D141C"/>
    <w:rsid w:val="001D18F4"/>
    <w:rsid w:val="001D29A6"/>
    <w:rsid w:val="001D3B8F"/>
    <w:rsid w:val="001D41A8"/>
    <w:rsid w:val="001D4448"/>
    <w:rsid w:val="001D4623"/>
    <w:rsid w:val="001D46E2"/>
    <w:rsid w:val="001D4CF9"/>
    <w:rsid w:val="001D5C88"/>
    <w:rsid w:val="001D61C7"/>
    <w:rsid w:val="001D6BFE"/>
    <w:rsid w:val="001D6C24"/>
    <w:rsid w:val="001E0057"/>
    <w:rsid w:val="001E036C"/>
    <w:rsid w:val="001E0DC1"/>
    <w:rsid w:val="001E0E28"/>
    <w:rsid w:val="001E0F7C"/>
    <w:rsid w:val="001E1A28"/>
    <w:rsid w:val="001E1D6E"/>
    <w:rsid w:val="001E2CBF"/>
    <w:rsid w:val="001E3A06"/>
    <w:rsid w:val="001E4875"/>
    <w:rsid w:val="001E54CF"/>
    <w:rsid w:val="001E5606"/>
    <w:rsid w:val="001E5657"/>
    <w:rsid w:val="001E5757"/>
    <w:rsid w:val="001E63BE"/>
    <w:rsid w:val="001E64E2"/>
    <w:rsid w:val="001E6692"/>
    <w:rsid w:val="001E679C"/>
    <w:rsid w:val="001E745C"/>
    <w:rsid w:val="001F1BA4"/>
    <w:rsid w:val="001F27BB"/>
    <w:rsid w:val="001F3114"/>
    <w:rsid w:val="001F341F"/>
    <w:rsid w:val="001F35E0"/>
    <w:rsid w:val="001F387B"/>
    <w:rsid w:val="001F39A8"/>
    <w:rsid w:val="001F4F9C"/>
    <w:rsid w:val="001F507D"/>
    <w:rsid w:val="001F661E"/>
    <w:rsid w:val="001F7686"/>
    <w:rsid w:val="002007E4"/>
    <w:rsid w:val="00200944"/>
    <w:rsid w:val="002009F7"/>
    <w:rsid w:val="0020105C"/>
    <w:rsid w:val="00201342"/>
    <w:rsid w:val="002024EF"/>
    <w:rsid w:val="00204C3C"/>
    <w:rsid w:val="00204E99"/>
    <w:rsid w:val="0020514A"/>
    <w:rsid w:val="00205174"/>
    <w:rsid w:val="002056FB"/>
    <w:rsid w:val="002062C4"/>
    <w:rsid w:val="002077E2"/>
    <w:rsid w:val="00211932"/>
    <w:rsid w:val="002119CD"/>
    <w:rsid w:val="002119D8"/>
    <w:rsid w:val="00211E1F"/>
    <w:rsid w:val="00212194"/>
    <w:rsid w:val="00212823"/>
    <w:rsid w:val="0021292E"/>
    <w:rsid w:val="00212C2D"/>
    <w:rsid w:val="00212D1A"/>
    <w:rsid w:val="00213465"/>
    <w:rsid w:val="002135E9"/>
    <w:rsid w:val="00213C12"/>
    <w:rsid w:val="00213E5F"/>
    <w:rsid w:val="002142AC"/>
    <w:rsid w:val="002146A1"/>
    <w:rsid w:val="00214D73"/>
    <w:rsid w:val="00215A14"/>
    <w:rsid w:val="00215A86"/>
    <w:rsid w:val="002161B3"/>
    <w:rsid w:val="0021661A"/>
    <w:rsid w:val="00217362"/>
    <w:rsid w:val="00217D21"/>
    <w:rsid w:val="002205E2"/>
    <w:rsid w:val="00221043"/>
    <w:rsid w:val="00221ECB"/>
    <w:rsid w:val="00222347"/>
    <w:rsid w:val="00223017"/>
    <w:rsid w:val="0022312C"/>
    <w:rsid w:val="00224F63"/>
    <w:rsid w:val="002250CC"/>
    <w:rsid w:val="002255D9"/>
    <w:rsid w:val="00225707"/>
    <w:rsid w:val="00226161"/>
    <w:rsid w:val="00226C57"/>
    <w:rsid w:val="00226C5A"/>
    <w:rsid w:val="00227870"/>
    <w:rsid w:val="0022794A"/>
    <w:rsid w:val="00227CE9"/>
    <w:rsid w:val="0023054D"/>
    <w:rsid w:val="00230BA4"/>
    <w:rsid w:val="0023125F"/>
    <w:rsid w:val="00232A61"/>
    <w:rsid w:val="00232B90"/>
    <w:rsid w:val="00233A18"/>
    <w:rsid w:val="00233D0A"/>
    <w:rsid w:val="00233F4B"/>
    <w:rsid w:val="002348E8"/>
    <w:rsid w:val="00235D70"/>
    <w:rsid w:val="002400F7"/>
    <w:rsid w:val="00240D85"/>
    <w:rsid w:val="002417A7"/>
    <w:rsid w:val="00241C6F"/>
    <w:rsid w:val="002430F5"/>
    <w:rsid w:val="00243A1E"/>
    <w:rsid w:val="00243BBE"/>
    <w:rsid w:val="002446AD"/>
    <w:rsid w:val="00245544"/>
    <w:rsid w:val="00246307"/>
    <w:rsid w:val="00246E36"/>
    <w:rsid w:val="0024773C"/>
    <w:rsid w:val="00250746"/>
    <w:rsid w:val="00250986"/>
    <w:rsid w:val="00250E06"/>
    <w:rsid w:val="0025139A"/>
    <w:rsid w:val="00251648"/>
    <w:rsid w:val="00251653"/>
    <w:rsid w:val="002516DB"/>
    <w:rsid w:val="002516EF"/>
    <w:rsid w:val="00253476"/>
    <w:rsid w:val="002537D2"/>
    <w:rsid w:val="00254E78"/>
    <w:rsid w:val="0025547B"/>
    <w:rsid w:val="00255502"/>
    <w:rsid w:val="00255863"/>
    <w:rsid w:val="00255D83"/>
    <w:rsid w:val="00256E3E"/>
    <w:rsid w:val="00257087"/>
    <w:rsid w:val="00257223"/>
    <w:rsid w:val="002579D5"/>
    <w:rsid w:val="00260CA1"/>
    <w:rsid w:val="0026159E"/>
    <w:rsid w:val="00262279"/>
    <w:rsid w:val="00262360"/>
    <w:rsid w:val="00264241"/>
    <w:rsid w:val="00265609"/>
    <w:rsid w:val="0026608E"/>
    <w:rsid w:val="00266B09"/>
    <w:rsid w:val="00267921"/>
    <w:rsid w:val="00267AA2"/>
    <w:rsid w:val="0027004C"/>
    <w:rsid w:val="00270598"/>
    <w:rsid w:val="00271374"/>
    <w:rsid w:val="00271536"/>
    <w:rsid w:val="0027194A"/>
    <w:rsid w:val="00273D09"/>
    <w:rsid w:val="00275831"/>
    <w:rsid w:val="00275CBD"/>
    <w:rsid w:val="00277417"/>
    <w:rsid w:val="00277518"/>
    <w:rsid w:val="00277A19"/>
    <w:rsid w:val="00280BEE"/>
    <w:rsid w:val="002817D0"/>
    <w:rsid w:val="002821F7"/>
    <w:rsid w:val="00282EEF"/>
    <w:rsid w:val="0028418F"/>
    <w:rsid w:val="00284A52"/>
    <w:rsid w:val="00284B1A"/>
    <w:rsid w:val="00285EED"/>
    <w:rsid w:val="00286107"/>
    <w:rsid w:val="002868FB"/>
    <w:rsid w:val="00286C31"/>
    <w:rsid w:val="00286C78"/>
    <w:rsid w:val="00286D32"/>
    <w:rsid w:val="00286E3E"/>
    <w:rsid w:val="00290ACC"/>
    <w:rsid w:val="00290F0D"/>
    <w:rsid w:val="00291691"/>
    <w:rsid w:val="00292690"/>
    <w:rsid w:val="00292A6E"/>
    <w:rsid w:val="00292C4D"/>
    <w:rsid w:val="0029302F"/>
    <w:rsid w:val="00293784"/>
    <w:rsid w:val="00295A0A"/>
    <w:rsid w:val="002961FA"/>
    <w:rsid w:val="00296A5A"/>
    <w:rsid w:val="00297C6A"/>
    <w:rsid w:val="002A2489"/>
    <w:rsid w:val="002A24FD"/>
    <w:rsid w:val="002A3E21"/>
    <w:rsid w:val="002A5174"/>
    <w:rsid w:val="002A5737"/>
    <w:rsid w:val="002A7703"/>
    <w:rsid w:val="002A796E"/>
    <w:rsid w:val="002B1092"/>
    <w:rsid w:val="002B4108"/>
    <w:rsid w:val="002B46E0"/>
    <w:rsid w:val="002B5AE9"/>
    <w:rsid w:val="002B6644"/>
    <w:rsid w:val="002B6CD0"/>
    <w:rsid w:val="002B6D99"/>
    <w:rsid w:val="002B6EA6"/>
    <w:rsid w:val="002B7214"/>
    <w:rsid w:val="002B761E"/>
    <w:rsid w:val="002B79E4"/>
    <w:rsid w:val="002B7E1C"/>
    <w:rsid w:val="002B7FE5"/>
    <w:rsid w:val="002C0127"/>
    <w:rsid w:val="002C0354"/>
    <w:rsid w:val="002C27A5"/>
    <w:rsid w:val="002C28AC"/>
    <w:rsid w:val="002C2A53"/>
    <w:rsid w:val="002C40D5"/>
    <w:rsid w:val="002C4D49"/>
    <w:rsid w:val="002C5EBE"/>
    <w:rsid w:val="002C6BF9"/>
    <w:rsid w:val="002C6DCE"/>
    <w:rsid w:val="002D095E"/>
    <w:rsid w:val="002D230E"/>
    <w:rsid w:val="002D2421"/>
    <w:rsid w:val="002D3744"/>
    <w:rsid w:val="002D3DA3"/>
    <w:rsid w:val="002D43A9"/>
    <w:rsid w:val="002D4B0B"/>
    <w:rsid w:val="002D5319"/>
    <w:rsid w:val="002D5B9C"/>
    <w:rsid w:val="002D6A1B"/>
    <w:rsid w:val="002D7E30"/>
    <w:rsid w:val="002E0CC8"/>
    <w:rsid w:val="002E0FB5"/>
    <w:rsid w:val="002E11DD"/>
    <w:rsid w:val="002E181E"/>
    <w:rsid w:val="002E1926"/>
    <w:rsid w:val="002E1EEC"/>
    <w:rsid w:val="002E21E7"/>
    <w:rsid w:val="002E24D1"/>
    <w:rsid w:val="002E2B4D"/>
    <w:rsid w:val="002E2CD8"/>
    <w:rsid w:val="002E3385"/>
    <w:rsid w:val="002E386F"/>
    <w:rsid w:val="002E472E"/>
    <w:rsid w:val="002F06E5"/>
    <w:rsid w:val="002F0B1A"/>
    <w:rsid w:val="002F2665"/>
    <w:rsid w:val="002F2A82"/>
    <w:rsid w:val="002F2C81"/>
    <w:rsid w:val="002F444A"/>
    <w:rsid w:val="002F47FA"/>
    <w:rsid w:val="002F4919"/>
    <w:rsid w:val="002F4BED"/>
    <w:rsid w:val="002F604A"/>
    <w:rsid w:val="002F7252"/>
    <w:rsid w:val="002F7659"/>
    <w:rsid w:val="0030003A"/>
    <w:rsid w:val="00300280"/>
    <w:rsid w:val="00301DCA"/>
    <w:rsid w:val="003020BA"/>
    <w:rsid w:val="00303A3C"/>
    <w:rsid w:val="00305863"/>
    <w:rsid w:val="003058AF"/>
    <w:rsid w:val="00305BF4"/>
    <w:rsid w:val="00306182"/>
    <w:rsid w:val="00306F73"/>
    <w:rsid w:val="003070B2"/>
    <w:rsid w:val="003107C1"/>
    <w:rsid w:val="00310986"/>
    <w:rsid w:val="00310DBC"/>
    <w:rsid w:val="003116E9"/>
    <w:rsid w:val="00311958"/>
    <w:rsid w:val="00312849"/>
    <w:rsid w:val="00312C4B"/>
    <w:rsid w:val="00313AE2"/>
    <w:rsid w:val="003141B0"/>
    <w:rsid w:val="003158F2"/>
    <w:rsid w:val="0031611F"/>
    <w:rsid w:val="0031629E"/>
    <w:rsid w:val="003171D9"/>
    <w:rsid w:val="0032100C"/>
    <w:rsid w:val="00321714"/>
    <w:rsid w:val="0032402D"/>
    <w:rsid w:val="0032472C"/>
    <w:rsid w:val="00324CF0"/>
    <w:rsid w:val="00324EF2"/>
    <w:rsid w:val="00325E43"/>
    <w:rsid w:val="00327166"/>
    <w:rsid w:val="00327E81"/>
    <w:rsid w:val="00331A62"/>
    <w:rsid w:val="00331D7E"/>
    <w:rsid w:val="00332A91"/>
    <w:rsid w:val="00332D2F"/>
    <w:rsid w:val="0033329B"/>
    <w:rsid w:val="00334400"/>
    <w:rsid w:val="00334C61"/>
    <w:rsid w:val="00335FC2"/>
    <w:rsid w:val="00336B58"/>
    <w:rsid w:val="0033715E"/>
    <w:rsid w:val="00337317"/>
    <w:rsid w:val="003377E8"/>
    <w:rsid w:val="003378BD"/>
    <w:rsid w:val="003405A5"/>
    <w:rsid w:val="00341169"/>
    <w:rsid w:val="00341B40"/>
    <w:rsid w:val="00342573"/>
    <w:rsid w:val="003434E8"/>
    <w:rsid w:val="00344CF2"/>
    <w:rsid w:val="00344FE6"/>
    <w:rsid w:val="00345CF5"/>
    <w:rsid w:val="00347377"/>
    <w:rsid w:val="0034779B"/>
    <w:rsid w:val="0035080B"/>
    <w:rsid w:val="00350F52"/>
    <w:rsid w:val="003512B5"/>
    <w:rsid w:val="00352EC9"/>
    <w:rsid w:val="00354189"/>
    <w:rsid w:val="00354E37"/>
    <w:rsid w:val="0035559D"/>
    <w:rsid w:val="00356AC4"/>
    <w:rsid w:val="00357595"/>
    <w:rsid w:val="00357839"/>
    <w:rsid w:val="00357C8A"/>
    <w:rsid w:val="003609AB"/>
    <w:rsid w:val="00360DB8"/>
    <w:rsid w:val="0036266C"/>
    <w:rsid w:val="0036293A"/>
    <w:rsid w:val="003630C3"/>
    <w:rsid w:val="003632AD"/>
    <w:rsid w:val="003637DC"/>
    <w:rsid w:val="00363A81"/>
    <w:rsid w:val="00363F36"/>
    <w:rsid w:val="00364D4B"/>
    <w:rsid w:val="00364E9C"/>
    <w:rsid w:val="003655EC"/>
    <w:rsid w:val="003656D8"/>
    <w:rsid w:val="00366FAE"/>
    <w:rsid w:val="00367982"/>
    <w:rsid w:val="00367B36"/>
    <w:rsid w:val="00367D71"/>
    <w:rsid w:val="00367F6D"/>
    <w:rsid w:val="003709CB"/>
    <w:rsid w:val="0037100C"/>
    <w:rsid w:val="00371886"/>
    <w:rsid w:val="00373483"/>
    <w:rsid w:val="00374583"/>
    <w:rsid w:val="00375D8D"/>
    <w:rsid w:val="00377BA0"/>
    <w:rsid w:val="003800AB"/>
    <w:rsid w:val="00380DFA"/>
    <w:rsid w:val="00382072"/>
    <w:rsid w:val="003822E9"/>
    <w:rsid w:val="00382396"/>
    <w:rsid w:val="00382C13"/>
    <w:rsid w:val="00382CA1"/>
    <w:rsid w:val="003836AA"/>
    <w:rsid w:val="0038422C"/>
    <w:rsid w:val="0038534C"/>
    <w:rsid w:val="00385CE5"/>
    <w:rsid w:val="00385F7D"/>
    <w:rsid w:val="0038607B"/>
    <w:rsid w:val="00387338"/>
    <w:rsid w:val="003875E8"/>
    <w:rsid w:val="003909B5"/>
    <w:rsid w:val="00392A8B"/>
    <w:rsid w:val="00393AD4"/>
    <w:rsid w:val="00393B2B"/>
    <w:rsid w:val="0039445B"/>
    <w:rsid w:val="0039543D"/>
    <w:rsid w:val="00395642"/>
    <w:rsid w:val="003A0E92"/>
    <w:rsid w:val="003A155F"/>
    <w:rsid w:val="003A1921"/>
    <w:rsid w:val="003A2242"/>
    <w:rsid w:val="003A2476"/>
    <w:rsid w:val="003A2B41"/>
    <w:rsid w:val="003A471A"/>
    <w:rsid w:val="003A4A65"/>
    <w:rsid w:val="003A5E5D"/>
    <w:rsid w:val="003A67CA"/>
    <w:rsid w:val="003A67E1"/>
    <w:rsid w:val="003A6C0C"/>
    <w:rsid w:val="003A7C22"/>
    <w:rsid w:val="003A7C60"/>
    <w:rsid w:val="003B2551"/>
    <w:rsid w:val="003B3FB3"/>
    <w:rsid w:val="003B4430"/>
    <w:rsid w:val="003B4760"/>
    <w:rsid w:val="003B4D52"/>
    <w:rsid w:val="003B504F"/>
    <w:rsid w:val="003B5FB2"/>
    <w:rsid w:val="003B6287"/>
    <w:rsid w:val="003B71E3"/>
    <w:rsid w:val="003C0070"/>
    <w:rsid w:val="003C010A"/>
    <w:rsid w:val="003C0F4C"/>
    <w:rsid w:val="003C166F"/>
    <w:rsid w:val="003C178E"/>
    <w:rsid w:val="003C20DA"/>
    <w:rsid w:val="003C2BA7"/>
    <w:rsid w:val="003C33DA"/>
    <w:rsid w:val="003C5188"/>
    <w:rsid w:val="003C5776"/>
    <w:rsid w:val="003C5F6F"/>
    <w:rsid w:val="003C7906"/>
    <w:rsid w:val="003C7EDA"/>
    <w:rsid w:val="003D02F6"/>
    <w:rsid w:val="003D04F7"/>
    <w:rsid w:val="003D06B6"/>
    <w:rsid w:val="003D1EC6"/>
    <w:rsid w:val="003D2109"/>
    <w:rsid w:val="003D2325"/>
    <w:rsid w:val="003D4785"/>
    <w:rsid w:val="003D5559"/>
    <w:rsid w:val="003D76D3"/>
    <w:rsid w:val="003E02AA"/>
    <w:rsid w:val="003E1AE5"/>
    <w:rsid w:val="003E22DA"/>
    <w:rsid w:val="003E35DA"/>
    <w:rsid w:val="003E3B86"/>
    <w:rsid w:val="003E3C8E"/>
    <w:rsid w:val="003E4CE1"/>
    <w:rsid w:val="003E500D"/>
    <w:rsid w:val="003E59E8"/>
    <w:rsid w:val="003E75B0"/>
    <w:rsid w:val="003E7FBE"/>
    <w:rsid w:val="003F02B1"/>
    <w:rsid w:val="003F38A1"/>
    <w:rsid w:val="003F3A54"/>
    <w:rsid w:val="003F480E"/>
    <w:rsid w:val="003F6DF6"/>
    <w:rsid w:val="003F7ED7"/>
    <w:rsid w:val="00400075"/>
    <w:rsid w:val="004017C2"/>
    <w:rsid w:val="00401B28"/>
    <w:rsid w:val="0040247C"/>
    <w:rsid w:val="004028F2"/>
    <w:rsid w:val="00404180"/>
    <w:rsid w:val="004045AA"/>
    <w:rsid w:val="00405888"/>
    <w:rsid w:val="00406396"/>
    <w:rsid w:val="0040645F"/>
    <w:rsid w:val="00406675"/>
    <w:rsid w:val="00406C5F"/>
    <w:rsid w:val="0041098C"/>
    <w:rsid w:val="00411625"/>
    <w:rsid w:val="00412594"/>
    <w:rsid w:val="004130AF"/>
    <w:rsid w:val="00413AD8"/>
    <w:rsid w:val="00413C05"/>
    <w:rsid w:val="004146E4"/>
    <w:rsid w:val="00414BC5"/>
    <w:rsid w:val="0041706F"/>
    <w:rsid w:val="00417802"/>
    <w:rsid w:val="00421232"/>
    <w:rsid w:val="00421249"/>
    <w:rsid w:val="004212ED"/>
    <w:rsid w:val="004218E7"/>
    <w:rsid w:val="00421A1F"/>
    <w:rsid w:val="004223AC"/>
    <w:rsid w:val="004233E9"/>
    <w:rsid w:val="00423405"/>
    <w:rsid w:val="00424369"/>
    <w:rsid w:val="004247B1"/>
    <w:rsid w:val="00425592"/>
    <w:rsid w:val="00425747"/>
    <w:rsid w:val="00426284"/>
    <w:rsid w:val="0042636E"/>
    <w:rsid w:val="004271F8"/>
    <w:rsid w:val="00427DC7"/>
    <w:rsid w:val="00430033"/>
    <w:rsid w:val="004306DE"/>
    <w:rsid w:val="00430A95"/>
    <w:rsid w:val="00430DCA"/>
    <w:rsid w:val="00430EEE"/>
    <w:rsid w:val="004310D0"/>
    <w:rsid w:val="004310D1"/>
    <w:rsid w:val="00432537"/>
    <w:rsid w:val="00432EC8"/>
    <w:rsid w:val="004330AB"/>
    <w:rsid w:val="00434175"/>
    <w:rsid w:val="00434369"/>
    <w:rsid w:val="004359DF"/>
    <w:rsid w:val="00436427"/>
    <w:rsid w:val="0043737F"/>
    <w:rsid w:val="004379F3"/>
    <w:rsid w:val="00440010"/>
    <w:rsid w:val="00440A36"/>
    <w:rsid w:val="00441686"/>
    <w:rsid w:val="00441AE9"/>
    <w:rsid w:val="00443033"/>
    <w:rsid w:val="00443B2D"/>
    <w:rsid w:val="00443BBF"/>
    <w:rsid w:val="00444A27"/>
    <w:rsid w:val="00444D8A"/>
    <w:rsid w:val="00445509"/>
    <w:rsid w:val="00450D9D"/>
    <w:rsid w:val="0045123D"/>
    <w:rsid w:val="0045246D"/>
    <w:rsid w:val="004526BE"/>
    <w:rsid w:val="00452934"/>
    <w:rsid w:val="004539B1"/>
    <w:rsid w:val="00454BD6"/>
    <w:rsid w:val="00454C01"/>
    <w:rsid w:val="004554CD"/>
    <w:rsid w:val="0045767C"/>
    <w:rsid w:val="004579CE"/>
    <w:rsid w:val="00460F3B"/>
    <w:rsid w:val="0046103E"/>
    <w:rsid w:val="00461964"/>
    <w:rsid w:val="0046316D"/>
    <w:rsid w:val="00463E1E"/>
    <w:rsid w:val="004650CE"/>
    <w:rsid w:val="00466B0D"/>
    <w:rsid w:val="004673BF"/>
    <w:rsid w:val="00467DBF"/>
    <w:rsid w:val="00470FC8"/>
    <w:rsid w:val="00471458"/>
    <w:rsid w:val="00472AC4"/>
    <w:rsid w:val="00472E1D"/>
    <w:rsid w:val="00473427"/>
    <w:rsid w:val="00473A8E"/>
    <w:rsid w:val="004747F1"/>
    <w:rsid w:val="00474ACC"/>
    <w:rsid w:val="00474AFE"/>
    <w:rsid w:val="00476064"/>
    <w:rsid w:val="00476AD0"/>
    <w:rsid w:val="004770AE"/>
    <w:rsid w:val="0047762E"/>
    <w:rsid w:val="004801A8"/>
    <w:rsid w:val="00481771"/>
    <w:rsid w:val="00481B2C"/>
    <w:rsid w:val="00482AF2"/>
    <w:rsid w:val="00483F97"/>
    <w:rsid w:val="00485AA2"/>
    <w:rsid w:val="00485AA4"/>
    <w:rsid w:val="00485CBE"/>
    <w:rsid w:val="004860BE"/>
    <w:rsid w:val="004867F7"/>
    <w:rsid w:val="00486C93"/>
    <w:rsid w:val="00486FC6"/>
    <w:rsid w:val="00487274"/>
    <w:rsid w:val="00487B8B"/>
    <w:rsid w:val="00490B4E"/>
    <w:rsid w:val="004911BC"/>
    <w:rsid w:val="0049190A"/>
    <w:rsid w:val="00492841"/>
    <w:rsid w:val="0049295E"/>
    <w:rsid w:val="004938FC"/>
    <w:rsid w:val="00493EB1"/>
    <w:rsid w:val="00494439"/>
    <w:rsid w:val="00494748"/>
    <w:rsid w:val="00494CC3"/>
    <w:rsid w:val="00495381"/>
    <w:rsid w:val="00495EC8"/>
    <w:rsid w:val="0049688C"/>
    <w:rsid w:val="00497E05"/>
    <w:rsid w:val="004A0D3C"/>
    <w:rsid w:val="004A19B9"/>
    <w:rsid w:val="004A3C71"/>
    <w:rsid w:val="004A3EA7"/>
    <w:rsid w:val="004A52FC"/>
    <w:rsid w:val="004A64FC"/>
    <w:rsid w:val="004A6E18"/>
    <w:rsid w:val="004A7064"/>
    <w:rsid w:val="004A706F"/>
    <w:rsid w:val="004A74E4"/>
    <w:rsid w:val="004B0BA7"/>
    <w:rsid w:val="004B0FDA"/>
    <w:rsid w:val="004B149F"/>
    <w:rsid w:val="004B15CD"/>
    <w:rsid w:val="004B3894"/>
    <w:rsid w:val="004B3E6F"/>
    <w:rsid w:val="004B4017"/>
    <w:rsid w:val="004B4042"/>
    <w:rsid w:val="004B4266"/>
    <w:rsid w:val="004B5CBA"/>
    <w:rsid w:val="004B684D"/>
    <w:rsid w:val="004B6EA1"/>
    <w:rsid w:val="004B739E"/>
    <w:rsid w:val="004B782A"/>
    <w:rsid w:val="004B7DB6"/>
    <w:rsid w:val="004B7DFC"/>
    <w:rsid w:val="004C0F8A"/>
    <w:rsid w:val="004C102F"/>
    <w:rsid w:val="004C1F1A"/>
    <w:rsid w:val="004C2432"/>
    <w:rsid w:val="004C4680"/>
    <w:rsid w:val="004C73CC"/>
    <w:rsid w:val="004C7C47"/>
    <w:rsid w:val="004C7F21"/>
    <w:rsid w:val="004D02CD"/>
    <w:rsid w:val="004D08E4"/>
    <w:rsid w:val="004D0A63"/>
    <w:rsid w:val="004D0AC3"/>
    <w:rsid w:val="004D0E31"/>
    <w:rsid w:val="004D116E"/>
    <w:rsid w:val="004D169B"/>
    <w:rsid w:val="004D264E"/>
    <w:rsid w:val="004D33B0"/>
    <w:rsid w:val="004D33D1"/>
    <w:rsid w:val="004D3654"/>
    <w:rsid w:val="004D485E"/>
    <w:rsid w:val="004D4E20"/>
    <w:rsid w:val="004D57D7"/>
    <w:rsid w:val="004D7671"/>
    <w:rsid w:val="004E048D"/>
    <w:rsid w:val="004E0B7D"/>
    <w:rsid w:val="004E0BE5"/>
    <w:rsid w:val="004E1489"/>
    <w:rsid w:val="004E158F"/>
    <w:rsid w:val="004E30C7"/>
    <w:rsid w:val="004E333F"/>
    <w:rsid w:val="004E349D"/>
    <w:rsid w:val="004E36D7"/>
    <w:rsid w:val="004E3797"/>
    <w:rsid w:val="004E509A"/>
    <w:rsid w:val="004E5864"/>
    <w:rsid w:val="004E586F"/>
    <w:rsid w:val="004E5CC9"/>
    <w:rsid w:val="004E5E9D"/>
    <w:rsid w:val="004E60F5"/>
    <w:rsid w:val="004E6A28"/>
    <w:rsid w:val="004E6F35"/>
    <w:rsid w:val="004E704B"/>
    <w:rsid w:val="004E7D25"/>
    <w:rsid w:val="004F1C64"/>
    <w:rsid w:val="004F2643"/>
    <w:rsid w:val="004F383A"/>
    <w:rsid w:val="004F384D"/>
    <w:rsid w:val="004F386F"/>
    <w:rsid w:val="004F5675"/>
    <w:rsid w:val="004F618D"/>
    <w:rsid w:val="00500609"/>
    <w:rsid w:val="00500ED6"/>
    <w:rsid w:val="00500F13"/>
    <w:rsid w:val="0050156A"/>
    <w:rsid w:val="0050185A"/>
    <w:rsid w:val="00501CDC"/>
    <w:rsid w:val="00502CF6"/>
    <w:rsid w:val="00502F86"/>
    <w:rsid w:val="005030D9"/>
    <w:rsid w:val="005035DA"/>
    <w:rsid w:val="00504ACD"/>
    <w:rsid w:val="00504D39"/>
    <w:rsid w:val="00505843"/>
    <w:rsid w:val="00506299"/>
    <w:rsid w:val="00506A96"/>
    <w:rsid w:val="00507B91"/>
    <w:rsid w:val="005103B3"/>
    <w:rsid w:val="00510B42"/>
    <w:rsid w:val="00511F4E"/>
    <w:rsid w:val="005124C8"/>
    <w:rsid w:val="005130CC"/>
    <w:rsid w:val="00513F29"/>
    <w:rsid w:val="005159A9"/>
    <w:rsid w:val="00516590"/>
    <w:rsid w:val="00516958"/>
    <w:rsid w:val="005172D6"/>
    <w:rsid w:val="00517EC0"/>
    <w:rsid w:val="00520403"/>
    <w:rsid w:val="00522CC4"/>
    <w:rsid w:val="00522E96"/>
    <w:rsid w:val="005233A2"/>
    <w:rsid w:val="005235FC"/>
    <w:rsid w:val="00524807"/>
    <w:rsid w:val="00524F61"/>
    <w:rsid w:val="0052536F"/>
    <w:rsid w:val="005258C9"/>
    <w:rsid w:val="00525DA2"/>
    <w:rsid w:val="005267C0"/>
    <w:rsid w:val="00526A15"/>
    <w:rsid w:val="00527634"/>
    <w:rsid w:val="005304D1"/>
    <w:rsid w:val="00532A7D"/>
    <w:rsid w:val="00533816"/>
    <w:rsid w:val="00533B42"/>
    <w:rsid w:val="00533BDE"/>
    <w:rsid w:val="00533C99"/>
    <w:rsid w:val="00533CC5"/>
    <w:rsid w:val="00534A75"/>
    <w:rsid w:val="00534ABD"/>
    <w:rsid w:val="00535319"/>
    <w:rsid w:val="00535A4C"/>
    <w:rsid w:val="00535AB0"/>
    <w:rsid w:val="005368B6"/>
    <w:rsid w:val="00536CFF"/>
    <w:rsid w:val="00541DD0"/>
    <w:rsid w:val="00542568"/>
    <w:rsid w:val="00542D9C"/>
    <w:rsid w:val="00542DD5"/>
    <w:rsid w:val="005435EA"/>
    <w:rsid w:val="00543E2E"/>
    <w:rsid w:val="00544F73"/>
    <w:rsid w:val="0054518D"/>
    <w:rsid w:val="00545D63"/>
    <w:rsid w:val="00546936"/>
    <w:rsid w:val="00546CD1"/>
    <w:rsid w:val="00546E3E"/>
    <w:rsid w:val="0054747E"/>
    <w:rsid w:val="00547C38"/>
    <w:rsid w:val="00547E6B"/>
    <w:rsid w:val="005515AB"/>
    <w:rsid w:val="00551E7F"/>
    <w:rsid w:val="00552531"/>
    <w:rsid w:val="005529EB"/>
    <w:rsid w:val="00552A60"/>
    <w:rsid w:val="005539DE"/>
    <w:rsid w:val="00553ABB"/>
    <w:rsid w:val="00553C0C"/>
    <w:rsid w:val="00553E65"/>
    <w:rsid w:val="0055479D"/>
    <w:rsid w:val="00554891"/>
    <w:rsid w:val="005554C0"/>
    <w:rsid w:val="005557AC"/>
    <w:rsid w:val="00555D15"/>
    <w:rsid w:val="00556B06"/>
    <w:rsid w:val="00556BD4"/>
    <w:rsid w:val="005572AB"/>
    <w:rsid w:val="00557D9B"/>
    <w:rsid w:val="00560C0A"/>
    <w:rsid w:val="00560D7A"/>
    <w:rsid w:val="00562426"/>
    <w:rsid w:val="00563390"/>
    <w:rsid w:val="00563799"/>
    <w:rsid w:val="00563988"/>
    <w:rsid w:val="005643C8"/>
    <w:rsid w:val="00564A4D"/>
    <w:rsid w:val="005657BE"/>
    <w:rsid w:val="005661C6"/>
    <w:rsid w:val="0056764B"/>
    <w:rsid w:val="00570929"/>
    <w:rsid w:val="00571921"/>
    <w:rsid w:val="005722E9"/>
    <w:rsid w:val="0057233F"/>
    <w:rsid w:val="00572C41"/>
    <w:rsid w:val="0057398A"/>
    <w:rsid w:val="00574D1E"/>
    <w:rsid w:val="00576199"/>
    <w:rsid w:val="0057621C"/>
    <w:rsid w:val="0057648F"/>
    <w:rsid w:val="00576DBE"/>
    <w:rsid w:val="00577154"/>
    <w:rsid w:val="00577264"/>
    <w:rsid w:val="00577932"/>
    <w:rsid w:val="0058055B"/>
    <w:rsid w:val="00580906"/>
    <w:rsid w:val="00581028"/>
    <w:rsid w:val="00581F00"/>
    <w:rsid w:val="0058209C"/>
    <w:rsid w:val="00582A50"/>
    <w:rsid w:val="00582D20"/>
    <w:rsid w:val="00583188"/>
    <w:rsid w:val="0058373B"/>
    <w:rsid w:val="00583E4E"/>
    <w:rsid w:val="00584A0E"/>
    <w:rsid w:val="00584EE3"/>
    <w:rsid w:val="00587745"/>
    <w:rsid w:val="005900C2"/>
    <w:rsid w:val="005907C7"/>
    <w:rsid w:val="005908AC"/>
    <w:rsid w:val="0059241A"/>
    <w:rsid w:val="00593150"/>
    <w:rsid w:val="00593E6B"/>
    <w:rsid w:val="00594059"/>
    <w:rsid w:val="00594107"/>
    <w:rsid w:val="005947B4"/>
    <w:rsid w:val="005956BE"/>
    <w:rsid w:val="0059589B"/>
    <w:rsid w:val="00595DC6"/>
    <w:rsid w:val="005972BA"/>
    <w:rsid w:val="0059779E"/>
    <w:rsid w:val="005A0434"/>
    <w:rsid w:val="005A0634"/>
    <w:rsid w:val="005A124F"/>
    <w:rsid w:val="005A2F8B"/>
    <w:rsid w:val="005A4777"/>
    <w:rsid w:val="005A5F7F"/>
    <w:rsid w:val="005A6355"/>
    <w:rsid w:val="005A6D52"/>
    <w:rsid w:val="005A6DD7"/>
    <w:rsid w:val="005A71CD"/>
    <w:rsid w:val="005A77BB"/>
    <w:rsid w:val="005A7812"/>
    <w:rsid w:val="005A7E3E"/>
    <w:rsid w:val="005B015E"/>
    <w:rsid w:val="005B1BBD"/>
    <w:rsid w:val="005B26BD"/>
    <w:rsid w:val="005B2E34"/>
    <w:rsid w:val="005B3831"/>
    <w:rsid w:val="005B4470"/>
    <w:rsid w:val="005B4BD8"/>
    <w:rsid w:val="005B4CCB"/>
    <w:rsid w:val="005B4D2A"/>
    <w:rsid w:val="005B521E"/>
    <w:rsid w:val="005B5285"/>
    <w:rsid w:val="005B5501"/>
    <w:rsid w:val="005B6E89"/>
    <w:rsid w:val="005B7B2E"/>
    <w:rsid w:val="005C0518"/>
    <w:rsid w:val="005C0FB8"/>
    <w:rsid w:val="005C1E0E"/>
    <w:rsid w:val="005C2FDF"/>
    <w:rsid w:val="005C333C"/>
    <w:rsid w:val="005C3393"/>
    <w:rsid w:val="005C36FD"/>
    <w:rsid w:val="005C3D02"/>
    <w:rsid w:val="005C4DC9"/>
    <w:rsid w:val="005C4F06"/>
    <w:rsid w:val="005C512E"/>
    <w:rsid w:val="005C5837"/>
    <w:rsid w:val="005C5E69"/>
    <w:rsid w:val="005C6EA1"/>
    <w:rsid w:val="005C70C8"/>
    <w:rsid w:val="005C7309"/>
    <w:rsid w:val="005C7500"/>
    <w:rsid w:val="005C7A9E"/>
    <w:rsid w:val="005D1C14"/>
    <w:rsid w:val="005D1C31"/>
    <w:rsid w:val="005D1C37"/>
    <w:rsid w:val="005D2DAC"/>
    <w:rsid w:val="005D30F5"/>
    <w:rsid w:val="005D32CA"/>
    <w:rsid w:val="005D4980"/>
    <w:rsid w:val="005D6383"/>
    <w:rsid w:val="005E1063"/>
    <w:rsid w:val="005E14D1"/>
    <w:rsid w:val="005E1BB5"/>
    <w:rsid w:val="005E211F"/>
    <w:rsid w:val="005E256E"/>
    <w:rsid w:val="005E30D8"/>
    <w:rsid w:val="005E4644"/>
    <w:rsid w:val="005E5B81"/>
    <w:rsid w:val="005E602C"/>
    <w:rsid w:val="005E6A1E"/>
    <w:rsid w:val="005F1537"/>
    <w:rsid w:val="005F1548"/>
    <w:rsid w:val="005F15DE"/>
    <w:rsid w:val="005F1884"/>
    <w:rsid w:val="005F1DA6"/>
    <w:rsid w:val="005F206F"/>
    <w:rsid w:val="005F2603"/>
    <w:rsid w:val="005F2C58"/>
    <w:rsid w:val="005F3B56"/>
    <w:rsid w:val="005F5854"/>
    <w:rsid w:val="005F63A0"/>
    <w:rsid w:val="005F662F"/>
    <w:rsid w:val="005F779C"/>
    <w:rsid w:val="006004D0"/>
    <w:rsid w:val="006015BF"/>
    <w:rsid w:val="006019FF"/>
    <w:rsid w:val="00601ABA"/>
    <w:rsid w:val="006032D9"/>
    <w:rsid w:val="00604689"/>
    <w:rsid w:val="00605CA9"/>
    <w:rsid w:val="00606032"/>
    <w:rsid w:val="0060787D"/>
    <w:rsid w:val="00607905"/>
    <w:rsid w:val="00611686"/>
    <w:rsid w:val="00612DB2"/>
    <w:rsid w:val="00613353"/>
    <w:rsid w:val="00613A37"/>
    <w:rsid w:val="00613E6E"/>
    <w:rsid w:val="00614714"/>
    <w:rsid w:val="006147DE"/>
    <w:rsid w:val="006210BA"/>
    <w:rsid w:val="006216D2"/>
    <w:rsid w:val="00621997"/>
    <w:rsid w:val="00621DCD"/>
    <w:rsid w:val="00623A73"/>
    <w:rsid w:val="00623EAE"/>
    <w:rsid w:val="0062400A"/>
    <w:rsid w:val="006242F6"/>
    <w:rsid w:val="0062658A"/>
    <w:rsid w:val="006267E8"/>
    <w:rsid w:val="006274AB"/>
    <w:rsid w:val="00627981"/>
    <w:rsid w:val="00627CEB"/>
    <w:rsid w:val="00630593"/>
    <w:rsid w:val="00630CF4"/>
    <w:rsid w:val="00631143"/>
    <w:rsid w:val="00631599"/>
    <w:rsid w:val="006319CB"/>
    <w:rsid w:val="006324D4"/>
    <w:rsid w:val="006324E7"/>
    <w:rsid w:val="00632AB7"/>
    <w:rsid w:val="00633F49"/>
    <w:rsid w:val="0063406B"/>
    <w:rsid w:val="006347EE"/>
    <w:rsid w:val="00634866"/>
    <w:rsid w:val="006350AC"/>
    <w:rsid w:val="00635376"/>
    <w:rsid w:val="00635C8A"/>
    <w:rsid w:val="006366E3"/>
    <w:rsid w:val="00636857"/>
    <w:rsid w:val="00637AA4"/>
    <w:rsid w:val="00640369"/>
    <w:rsid w:val="006409C3"/>
    <w:rsid w:val="00640D4E"/>
    <w:rsid w:val="00640F17"/>
    <w:rsid w:val="00641716"/>
    <w:rsid w:val="006422CE"/>
    <w:rsid w:val="00643E9B"/>
    <w:rsid w:val="00644D3C"/>
    <w:rsid w:val="00644EB9"/>
    <w:rsid w:val="00645093"/>
    <w:rsid w:val="006474A2"/>
    <w:rsid w:val="00647524"/>
    <w:rsid w:val="00647E18"/>
    <w:rsid w:val="00647E87"/>
    <w:rsid w:val="00647E8F"/>
    <w:rsid w:val="00651655"/>
    <w:rsid w:val="006520C5"/>
    <w:rsid w:val="00655CE2"/>
    <w:rsid w:val="006566D6"/>
    <w:rsid w:val="0065712A"/>
    <w:rsid w:val="00657D0F"/>
    <w:rsid w:val="006606BF"/>
    <w:rsid w:val="0066152A"/>
    <w:rsid w:val="0066363F"/>
    <w:rsid w:val="006642B4"/>
    <w:rsid w:val="006651E4"/>
    <w:rsid w:val="006655E0"/>
    <w:rsid w:val="00665921"/>
    <w:rsid w:val="00665D5E"/>
    <w:rsid w:val="00665F7B"/>
    <w:rsid w:val="00667CF8"/>
    <w:rsid w:val="00667FA9"/>
    <w:rsid w:val="00671D21"/>
    <w:rsid w:val="006724FA"/>
    <w:rsid w:val="00672903"/>
    <w:rsid w:val="0067299F"/>
    <w:rsid w:val="0067357A"/>
    <w:rsid w:val="00673A72"/>
    <w:rsid w:val="00673D89"/>
    <w:rsid w:val="006745C1"/>
    <w:rsid w:val="00674C1B"/>
    <w:rsid w:val="00675704"/>
    <w:rsid w:val="006759E4"/>
    <w:rsid w:val="00675D2A"/>
    <w:rsid w:val="00676009"/>
    <w:rsid w:val="00676746"/>
    <w:rsid w:val="00680FE6"/>
    <w:rsid w:val="00682EE2"/>
    <w:rsid w:val="0068353D"/>
    <w:rsid w:val="0068443E"/>
    <w:rsid w:val="006851E1"/>
    <w:rsid w:val="0068535C"/>
    <w:rsid w:val="00685CF5"/>
    <w:rsid w:val="00685D16"/>
    <w:rsid w:val="006868AB"/>
    <w:rsid w:val="0068714F"/>
    <w:rsid w:val="006902B7"/>
    <w:rsid w:val="0069201B"/>
    <w:rsid w:val="00692116"/>
    <w:rsid w:val="006926A3"/>
    <w:rsid w:val="00692AE1"/>
    <w:rsid w:val="00692DD1"/>
    <w:rsid w:val="0069480F"/>
    <w:rsid w:val="00694B0C"/>
    <w:rsid w:val="00695EEF"/>
    <w:rsid w:val="00697004"/>
    <w:rsid w:val="00697632"/>
    <w:rsid w:val="006978DF"/>
    <w:rsid w:val="00697A96"/>
    <w:rsid w:val="006A2E56"/>
    <w:rsid w:val="006A30AD"/>
    <w:rsid w:val="006A5192"/>
    <w:rsid w:val="006A5544"/>
    <w:rsid w:val="006A56A2"/>
    <w:rsid w:val="006A56C3"/>
    <w:rsid w:val="006A5962"/>
    <w:rsid w:val="006A5C30"/>
    <w:rsid w:val="006A64AF"/>
    <w:rsid w:val="006A665F"/>
    <w:rsid w:val="006A6B42"/>
    <w:rsid w:val="006A70E9"/>
    <w:rsid w:val="006B1465"/>
    <w:rsid w:val="006B1AF3"/>
    <w:rsid w:val="006B1C8C"/>
    <w:rsid w:val="006B2445"/>
    <w:rsid w:val="006B332E"/>
    <w:rsid w:val="006B39A3"/>
    <w:rsid w:val="006B428E"/>
    <w:rsid w:val="006B7C2E"/>
    <w:rsid w:val="006C03A8"/>
    <w:rsid w:val="006C14BC"/>
    <w:rsid w:val="006C204A"/>
    <w:rsid w:val="006C20B6"/>
    <w:rsid w:val="006C233D"/>
    <w:rsid w:val="006C335E"/>
    <w:rsid w:val="006C3FEF"/>
    <w:rsid w:val="006C4CAE"/>
    <w:rsid w:val="006C637A"/>
    <w:rsid w:val="006C672E"/>
    <w:rsid w:val="006C6C09"/>
    <w:rsid w:val="006C6D5F"/>
    <w:rsid w:val="006D0195"/>
    <w:rsid w:val="006D0513"/>
    <w:rsid w:val="006D1943"/>
    <w:rsid w:val="006D23C6"/>
    <w:rsid w:val="006D249A"/>
    <w:rsid w:val="006D29CE"/>
    <w:rsid w:val="006D2DF3"/>
    <w:rsid w:val="006D2FC4"/>
    <w:rsid w:val="006D36AB"/>
    <w:rsid w:val="006D5592"/>
    <w:rsid w:val="006D57DC"/>
    <w:rsid w:val="006D583C"/>
    <w:rsid w:val="006D5CC3"/>
    <w:rsid w:val="006D5E9A"/>
    <w:rsid w:val="006D659F"/>
    <w:rsid w:val="006D6F1E"/>
    <w:rsid w:val="006D77FC"/>
    <w:rsid w:val="006E05B0"/>
    <w:rsid w:val="006E109F"/>
    <w:rsid w:val="006E33FA"/>
    <w:rsid w:val="006E43A5"/>
    <w:rsid w:val="006E46F6"/>
    <w:rsid w:val="006E4E32"/>
    <w:rsid w:val="006E4F0B"/>
    <w:rsid w:val="006E50ED"/>
    <w:rsid w:val="006E5600"/>
    <w:rsid w:val="006E73E5"/>
    <w:rsid w:val="006E7C06"/>
    <w:rsid w:val="006F05C6"/>
    <w:rsid w:val="006F0645"/>
    <w:rsid w:val="006F4374"/>
    <w:rsid w:val="006F6CCF"/>
    <w:rsid w:val="006F70C0"/>
    <w:rsid w:val="00701314"/>
    <w:rsid w:val="00703F3C"/>
    <w:rsid w:val="007045FB"/>
    <w:rsid w:val="0070490B"/>
    <w:rsid w:val="00704D2E"/>
    <w:rsid w:val="00704FBD"/>
    <w:rsid w:val="00705A46"/>
    <w:rsid w:val="00705AAA"/>
    <w:rsid w:val="00705E0B"/>
    <w:rsid w:val="00705E2D"/>
    <w:rsid w:val="00706193"/>
    <w:rsid w:val="0070677D"/>
    <w:rsid w:val="00706F1D"/>
    <w:rsid w:val="007077D5"/>
    <w:rsid w:val="00707E06"/>
    <w:rsid w:val="00710D83"/>
    <w:rsid w:val="00711445"/>
    <w:rsid w:val="00712188"/>
    <w:rsid w:val="00712BA0"/>
    <w:rsid w:val="00712F45"/>
    <w:rsid w:val="00715FD2"/>
    <w:rsid w:val="00717B30"/>
    <w:rsid w:val="0072097A"/>
    <w:rsid w:val="00720A95"/>
    <w:rsid w:val="00721958"/>
    <w:rsid w:val="007222A3"/>
    <w:rsid w:val="00722AA1"/>
    <w:rsid w:val="00723FF1"/>
    <w:rsid w:val="007243AC"/>
    <w:rsid w:val="007259C3"/>
    <w:rsid w:val="00725E51"/>
    <w:rsid w:val="007262E4"/>
    <w:rsid w:val="00726456"/>
    <w:rsid w:val="007303FA"/>
    <w:rsid w:val="007305D0"/>
    <w:rsid w:val="00730E8E"/>
    <w:rsid w:val="0073138F"/>
    <w:rsid w:val="007334C3"/>
    <w:rsid w:val="0073393F"/>
    <w:rsid w:val="00735469"/>
    <w:rsid w:val="00735824"/>
    <w:rsid w:val="0073596F"/>
    <w:rsid w:val="007404B5"/>
    <w:rsid w:val="007404DF"/>
    <w:rsid w:val="00740DD2"/>
    <w:rsid w:val="0074156C"/>
    <w:rsid w:val="00741D19"/>
    <w:rsid w:val="00743879"/>
    <w:rsid w:val="00744E8F"/>
    <w:rsid w:val="0074510E"/>
    <w:rsid w:val="00745636"/>
    <w:rsid w:val="00745CF3"/>
    <w:rsid w:val="00746666"/>
    <w:rsid w:val="00746B1A"/>
    <w:rsid w:val="00747E1C"/>
    <w:rsid w:val="00750CE0"/>
    <w:rsid w:val="00750ED3"/>
    <w:rsid w:val="00751277"/>
    <w:rsid w:val="0075161E"/>
    <w:rsid w:val="00751707"/>
    <w:rsid w:val="00752069"/>
    <w:rsid w:val="007530D6"/>
    <w:rsid w:val="00753C97"/>
    <w:rsid w:val="00753EE7"/>
    <w:rsid w:val="0075440C"/>
    <w:rsid w:val="00754DC3"/>
    <w:rsid w:val="00755E3C"/>
    <w:rsid w:val="00755F33"/>
    <w:rsid w:val="007572B4"/>
    <w:rsid w:val="007603D8"/>
    <w:rsid w:val="00760C3F"/>
    <w:rsid w:val="00760E74"/>
    <w:rsid w:val="007617B0"/>
    <w:rsid w:val="007626F9"/>
    <w:rsid w:val="00762808"/>
    <w:rsid w:val="00762D25"/>
    <w:rsid w:val="00762FD3"/>
    <w:rsid w:val="00763E98"/>
    <w:rsid w:val="00763EEC"/>
    <w:rsid w:val="007642ED"/>
    <w:rsid w:val="007646E0"/>
    <w:rsid w:val="00765531"/>
    <w:rsid w:val="00765875"/>
    <w:rsid w:val="00765D10"/>
    <w:rsid w:val="00766DDC"/>
    <w:rsid w:val="00766E84"/>
    <w:rsid w:val="00770115"/>
    <w:rsid w:val="00770768"/>
    <w:rsid w:val="00770A30"/>
    <w:rsid w:val="00772CEF"/>
    <w:rsid w:val="007737C1"/>
    <w:rsid w:val="0077418E"/>
    <w:rsid w:val="00774B3F"/>
    <w:rsid w:val="00775727"/>
    <w:rsid w:val="00776002"/>
    <w:rsid w:val="00776B09"/>
    <w:rsid w:val="00776EC1"/>
    <w:rsid w:val="00780473"/>
    <w:rsid w:val="007805AF"/>
    <w:rsid w:val="0078095B"/>
    <w:rsid w:val="0078205F"/>
    <w:rsid w:val="00783943"/>
    <w:rsid w:val="0078469E"/>
    <w:rsid w:val="00784B03"/>
    <w:rsid w:val="00784F0E"/>
    <w:rsid w:val="00785A0B"/>
    <w:rsid w:val="0078648B"/>
    <w:rsid w:val="00790543"/>
    <w:rsid w:val="00790E95"/>
    <w:rsid w:val="007926C1"/>
    <w:rsid w:val="0079281F"/>
    <w:rsid w:val="00792DAF"/>
    <w:rsid w:val="00793F24"/>
    <w:rsid w:val="00794055"/>
    <w:rsid w:val="0079624B"/>
    <w:rsid w:val="00797894"/>
    <w:rsid w:val="007A00AD"/>
    <w:rsid w:val="007A0B38"/>
    <w:rsid w:val="007A2513"/>
    <w:rsid w:val="007A2726"/>
    <w:rsid w:val="007A502A"/>
    <w:rsid w:val="007A64C1"/>
    <w:rsid w:val="007A6954"/>
    <w:rsid w:val="007A6AD5"/>
    <w:rsid w:val="007A6DBD"/>
    <w:rsid w:val="007A7B1C"/>
    <w:rsid w:val="007B0D19"/>
    <w:rsid w:val="007B3B42"/>
    <w:rsid w:val="007B4124"/>
    <w:rsid w:val="007B4DEB"/>
    <w:rsid w:val="007B69F6"/>
    <w:rsid w:val="007B739E"/>
    <w:rsid w:val="007C1042"/>
    <w:rsid w:val="007C19AF"/>
    <w:rsid w:val="007C1D33"/>
    <w:rsid w:val="007C2B61"/>
    <w:rsid w:val="007C57D1"/>
    <w:rsid w:val="007C5979"/>
    <w:rsid w:val="007C6BF2"/>
    <w:rsid w:val="007D0338"/>
    <w:rsid w:val="007D0CCE"/>
    <w:rsid w:val="007D0F74"/>
    <w:rsid w:val="007D2AB4"/>
    <w:rsid w:val="007D4C65"/>
    <w:rsid w:val="007D5525"/>
    <w:rsid w:val="007D57BB"/>
    <w:rsid w:val="007D5FBF"/>
    <w:rsid w:val="007D6DD7"/>
    <w:rsid w:val="007E156E"/>
    <w:rsid w:val="007E1A9B"/>
    <w:rsid w:val="007E2199"/>
    <w:rsid w:val="007E46A9"/>
    <w:rsid w:val="007E4D9D"/>
    <w:rsid w:val="007E5037"/>
    <w:rsid w:val="007E510D"/>
    <w:rsid w:val="007E5B2F"/>
    <w:rsid w:val="007E5BED"/>
    <w:rsid w:val="007E6674"/>
    <w:rsid w:val="007E6ED5"/>
    <w:rsid w:val="007E7271"/>
    <w:rsid w:val="007E78C3"/>
    <w:rsid w:val="007F060C"/>
    <w:rsid w:val="007F0DCF"/>
    <w:rsid w:val="007F2F96"/>
    <w:rsid w:val="007F3BD7"/>
    <w:rsid w:val="007F3C78"/>
    <w:rsid w:val="007F5A99"/>
    <w:rsid w:val="007F6093"/>
    <w:rsid w:val="007F6270"/>
    <w:rsid w:val="008001FB"/>
    <w:rsid w:val="00800680"/>
    <w:rsid w:val="00800C23"/>
    <w:rsid w:val="008011FC"/>
    <w:rsid w:val="00801D99"/>
    <w:rsid w:val="008020C0"/>
    <w:rsid w:val="00802773"/>
    <w:rsid w:val="008043E0"/>
    <w:rsid w:val="00805164"/>
    <w:rsid w:val="00807084"/>
    <w:rsid w:val="00811865"/>
    <w:rsid w:val="00811EFF"/>
    <w:rsid w:val="00812750"/>
    <w:rsid w:val="0081326D"/>
    <w:rsid w:val="00814044"/>
    <w:rsid w:val="00814700"/>
    <w:rsid w:val="00814B64"/>
    <w:rsid w:val="0081536E"/>
    <w:rsid w:val="00815629"/>
    <w:rsid w:val="00815957"/>
    <w:rsid w:val="00816952"/>
    <w:rsid w:val="00817797"/>
    <w:rsid w:val="00817CAD"/>
    <w:rsid w:val="00820DA6"/>
    <w:rsid w:val="00821791"/>
    <w:rsid w:val="00821C06"/>
    <w:rsid w:val="008233FF"/>
    <w:rsid w:val="008237BD"/>
    <w:rsid w:val="0082470C"/>
    <w:rsid w:val="0082550B"/>
    <w:rsid w:val="0082585C"/>
    <w:rsid w:val="00826864"/>
    <w:rsid w:val="0082688D"/>
    <w:rsid w:val="00826B76"/>
    <w:rsid w:val="00826B82"/>
    <w:rsid w:val="00826FDA"/>
    <w:rsid w:val="00827ACE"/>
    <w:rsid w:val="00827B7D"/>
    <w:rsid w:val="00827DDC"/>
    <w:rsid w:val="00830261"/>
    <w:rsid w:val="0083097E"/>
    <w:rsid w:val="00830A2D"/>
    <w:rsid w:val="0083165F"/>
    <w:rsid w:val="008326B6"/>
    <w:rsid w:val="008332D8"/>
    <w:rsid w:val="008335D4"/>
    <w:rsid w:val="008339CA"/>
    <w:rsid w:val="0083455C"/>
    <w:rsid w:val="00835605"/>
    <w:rsid w:val="008359E7"/>
    <w:rsid w:val="00836247"/>
    <w:rsid w:val="008368A4"/>
    <w:rsid w:val="008371C7"/>
    <w:rsid w:val="00837BE6"/>
    <w:rsid w:val="00840BCA"/>
    <w:rsid w:val="00840F11"/>
    <w:rsid w:val="00841624"/>
    <w:rsid w:val="00843F6A"/>
    <w:rsid w:val="00844223"/>
    <w:rsid w:val="0084467D"/>
    <w:rsid w:val="00847BBB"/>
    <w:rsid w:val="00847E9B"/>
    <w:rsid w:val="00847FCC"/>
    <w:rsid w:val="0085011F"/>
    <w:rsid w:val="008501A0"/>
    <w:rsid w:val="0085085C"/>
    <w:rsid w:val="00851959"/>
    <w:rsid w:val="008544DF"/>
    <w:rsid w:val="00855101"/>
    <w:rsid w:val="00855105"/>
    <w:rsid w:val="00855574"/>
    <w:rsid w:val="008557E6"/>
    <w:rsid w:val="0085651B"/>
    <w:rsid w:val="008567AE"/>
    <w:rsid w:val="00856973"/>
    <w:rsid w:val="00856C6C"/>
    <w:rsid w:val="00857BB2"/>
    <w:rsid w:val="008610C3"/>
    <w:rsid w:val="008617F7"/>
    <w:rsid w:val="00863342"/>
    <w:rsid w:val="0086405C"/>
    <w:rsid w:val="008656ED"/>
    <w:rsid w:val="00867A09"/>
    <w:rsid w:val="0087045F"/>
    <w:rsid w:val="00871D3F"/>
    <w:rsid w:val="008722C0"/>
    <w:rsid w:val="00872882"/>
    <w:rsid w:val="00872947"/>
    <w:rsid w:val="00872C86"/>
    <w:rsid w:val="008730B0"/>
    <w:rsid w:val="00873248"/>
    <w:rsid w:val="00873255"/>
    <w:rsid w:val="00873FBE"/>
    <w:rsid w:val="008742FF"/>
    <w:rsid w:val="008746CE"/>
    <w:rsid w:val="00874A76"/>
    <w:rsid w:val="00875031"/>
    <w:rsid w:val="00875DD4"/>
    <w:rsid w:val="008763D1"/>
    <w:rsid w:val="00876798"/>
    <w:rsid w:val="00877363"/>
    <w:rsid w:val="00877815"/>
    <w:rsid w:val="00877B1E"/>
    <w:rsid w:val="0088062C"/>
    <w:rsid w:val="00882247"/>
    <w:rsid w:val="0088255D"/>
    <w:rsid w:val="00882576"/>
    <w:rsid w:val="008862D9"/>
    <w:rsid w:val="00886678"/>
    <w:rsid w:val="0088742B"/>
    <w:rsid w:val="00890CF3"/>
    <w:rsid w:val="00891992"/>
    <w:rsid w:val="00891B6D"/>
    <w:rsid w:val="00892D34"/>
    <w:rsid w:val="00892F03"/>
    <w:rsid w:val="008935B1"/>
    <w:rsid w:val="008938D8"/>
    <w:rsid w:val="008938F6"/>
    <w:rsid w:val="00893BA4"/>
    <w:rsid w:val="0089406B"/>
    <w:rsid w:val="008944B7"/>
    <w:rsid w:val="008951C8"/>
    <w:rsid w:val="0089682B"/>
    <w:rsid w:val="008A03E8"/>
    <w:rsid w:val="008A04F5"/>
    <w:rsid w:val="008A0512"/>
    <w:rsid w:val="008A09AA"/>
    <w:rsid w:val="008A2C08"/>
    <w:rsid w:val="008A2C14"/>
    <w:rsid w:val="008A3F9D"/>
    <w:rsid w:val="008A46EF"/>
    <w:rsid w:val="008A4E24"/>
    <w:rsid w:val="008A6A66"/>
    <w:rsid w:val="008A74EC"/>
    <w:rsid w:val="008B1A98"/>
    <w:rsid w:val="008B1E78"/>
    <w:rsid w:val="008B2231"/>
    <w:rsid w:val="008B28F5"/>
    <w:rsid w:val="008B30B8"/>
    <w:rsid w:val="008B493F"/>
    <w:rsid w:val="008B50EE"/>
    <w:rsid w:val="008B56E1"/>
    <w:rsid w:val="008C00FC"/>
    <w:rsid w:val="008C0948"/>
    <w:rsid w:val="008C22DD"/>
    <w:rsid w:val="008C2336"/>
    <w:rsid w:val="008C461F"/>
    <w:rsid w:val="008C5657"/>
    <w:rsid w:val="008C6026"/>
    <w:rsid w:val="008C7301"/>
    <w:rsid w:val="008C736E"/>
    <w:rsid w:val="008C7615"/>
    <w:rsid w:val="008D0994"/>
    <w:rsid w:val="008D099A"/>
    <w:rsid w:val="008D1EEE"/>
    <w:rsid w:val="008D26C5"/>
    <w:rsid w:val="008D288A"/>
    <w:rsid w:val="008D2C22"/>
    <w:rsid w:val="008D3627"/>
    <w:rsid w:val="008D38A0"/>
    <w:rsid w:val="008D4F01"/>
    <w:rsid w:val="008D61C2"/>
    <w:rsid w:val="008D6C9B"/>
    <w:rsid w:val="008D7926"/>
    <w:rsid w:val="008D7DD4"/>
    <w:rsid w:val="008E02AB"/>
    <w:rsid w:val="008E092C"/>
    <w:rsid w:val="008E15CF"/>
    <w:rsid w:val="008E191A"/>
    <w:rsid w:val="008E1CC9"/>
    <w:rsid w:val="008E32D2"/>
    <w:rsid w:val="008E4330"/>
    <w:rsid w:val="008E4576"/>
    <w:rsid w:val="008E47FB"/>
    <w:rsid w:val="008E4C9E"/>
    <w:rsid w:val="008E5DDE"/>
    <w:rsid w:val="008F0C0B"/>
    <w:rsid w:val="008F0CF5"/>
    <w:rsid w:val="008F2882"/>
    <w:rsid w:val="008F28D1"/>
    <w:rsid w:val="008F2A61"/>
    <w:rsid w:val="008F2E78"/>
    <w:rsid w:val="008F3634"/>
    <w:rsid w:val="008F4997"/>
    <w:rsid w:val="008F5248"/>
    <w:rsid w:val="008F5515"/>
    <w:rsid w:val="008F59A8"/>
    <w:rsid w:val="008F5EC8"/>
    <w:rsid w:val="008F5EE6"/>
    <w:rsid w:val="008F7302"/>
    <w:rsid w:val="00901C32"/>
    <w:rsid w:val="00902162"/>
    <w:rsid w:val="00902853"/>
    <w:rsid w:val="00903DDF"/>
    <w:rsid w:val="009055C3"/>
    <w:rsid w:val="00905CA8"/>
    <w:rsid w:val="00905EF6"/>
    <w:rsid w:val="009073BF"/>
    <w:rsid w:val="00907B50"/>
    <w:rsid w:val="00907D7A"/>
    <w:rsid w:val="00910021"/>
    <w:rsid w:val="0091133D"/>
    <w:rsid w:val="0091375F"/>
    <w:rsid w:val="00914258"/>
    <w:rsid w:val="00914DD8"/>
    <w:rsid w:val="00915752"/>
    <w:rsid w:val="00915CFF"/>
    <w:rsid w:val="00915D03"/>
    <w:rsid w:val="00916D49"/>
    <w:rsid w:val="00917181"/>
    <w:rsid w:val="00917B03"/>
    <w:rsid w:val="0092131F"/>
    <w:rsid w:val="0092146C"/>
    <w:rsid w:val="00922168"/>
    <w:rsid w:val="00922241"/>
    <w:rsid w:val="00922286"/>
    <w:rsid w:val="009226D7"/>
    <w:rsid w:val="00922DF0"/>
    <w:rsid w:val="009232D7"/>
    <w:rsid w:val="009236CB"/>
    <w:rsid w:val="00923960"/>
    <w:rsid w:val="00924A14"/>
    <w:rsid w:val="00924AF1"/>
    <w:rsid w:val="00924F16"/>
    <w:rsid w:val="00925501"/>
    <w:rsid w:val="0092562B"/>
    <w:rsid w:val="00925F5F"/>
    <w:rsid w:val="00926673"/>
    <w:rsid w:val="00926D43"/>
    <w:rsid w:val="00927F27"/>
    <w:rsid w:val="00931CB4"/>
    <w:rsid w:val="0093261F"/>
    <w:rsid w:val="009326D4"/>
    <w:rsid w:val="009329F1"/>
    <w:rsid w:val="00933F8D"/>
    <w:rsid w:val="00935670"/>
    <w:rsid w:val="00935FF3"/>
    <w:rsid w:val="00937074"/>
    <w:rsid w:val="00937485"/>
    <w:rsid w:val="00940E75"/>
    <w:rsid w:val="009442EC"/>
    <w:rsid w:val="009461F3"/>
    <w:rsid w:val="00946EE5"/>
    <w:rsid w:val="00947316"/>
    <w:rsid w:val="0094761E"/>
    <w:rsid w:val="00950781"/>
    <w:rsid w:val="0095274E"/>
    <w:rsid w:val="00952B31"/>
    <w:rsid w:val="00953A13"/>
    <w:rsid w:val="00954954"/>
    <w:rsid w:val="0095750F"/>
    <w:rsid w:val="0096069A"/>
    <w:rsid w:val="00960DDC"/>
    <w:rsid w:val="009618A4"/>
    <w:rsid w:val="00961975"/>
    <w:rsid w:val="00961AB5"/>
    <w:rsid w:val="00962E13"/>
    <w:rsid w:val="0096309F"/>
    <w:rsid w:val="00963884"/>
    <w:rsid w:val="00963BF7"/>
    <w:rsid w:val="009640C4"/>
    <w:rsid w:val="009644DC"/>
    <w:rsid w:val="00965371"/>
    <w:rsid w:val="0096617F"/>
    <w:rsid w:val="00966E78"/>
    <w:rsid w:val="0096775D"/>
    <w:rsid w:val="00967BD9"/>
    <w:rsid w:val="00970321"/>
    <w:rsid w:val="00970594"/>
    <w:rsid w:val="00971304"/>
    <w:rsid w:val="009716D9"/>
    <w:rsid w:val="00971818"/>
    <w:rsid w:val="0097181D"/>
    <w:rsid w:val="0097255F"/>
    <w:rsid w:val="00973F9F"/>
    <w:rsid w:val="0097401A"/>
    <w:rsid w:val="00974105"/>
    <w:rsid w:val="00975728"/>
    <w:rsid w:val="00975A05"/>
    <w:rsid w:val="0097616C"/>
    <w:rsid w:val="0097654D"/>
    <w:rsid w:val="00980A34"/>
    <w:rsid w:val="0098151D"/>
    <w:rsid w:val="00981524"/>
    <w:rsid w:val="009818B0"/>
    <w:rsid w:val="00981989"/>
    <w:rsid w:val="00981CA8"/>
    <w:rsid w:val="0098218E"/>
    <w:rsid w:val="00982B81"/>
    <w:rsid w:val="00982CF3"/>
    <w:rsid w:val="009832C1"/>
    <w:rsid w:val="00983FE3"/>
    <w:rsid w:val="0098415D"/>
    <w:rsid w:val="00984AA2"/>
    <w:rsid w:val="00985021"/>
    <w:rsid w:val="00985538"/>
    <w:rsid w:val="0098670B"/>
    <w:rsid w:val="009868AB"/>
    <w:rsid w:val="00991512"/>
    <w:rsid w:val="00991C0A"/>
    <w:rsid w:val="00991CC0"/>
    <w:rsid w:val="00992771"/>
    <w:rsid w:val="00992A9A"/>
    <w:rsid w:val="00993AF8"/>
    <w:rsid w:val="00994004"/>
    <w:rsid w:val="00997B94"/>
    <w:rsid w:val="009A05E4"/>
    <w:rsid w:val="009A063E"/>
    <w:rsid w:val="009A08CB"/>
    <w:rsid w:val="009A121E"/>
    <w:rsid w:val="009A1221"/>
    <w:rsid w:val="009A12D3"/>
    <w:rsid w:val="009A169D"/>
    <w:rsid w:val="009A28DD"/>
    <w:rsid w:val="009A3C80"/>
    <w:rsid w:val="009A3D97"/>
    <w:rsid w:val="009A410F"/>
    <w:rsid w:val="009A5790"/>
    <w:rsid w:val="009A5B2C"/>
    <w:rsid w:val="009A5B4F"/>
    <w:rsid w:val="009A6BA3"/>
    <w:rsid w:val="009A7272"/>
    <w:rsid w:val="009A7892"/>
    <w:rsid w:val="009A7ADB"/>
    <w:rsid w:val="009A7E03"/>
    <w:rsid w:val="009B1E2F"/>
    <w:rsid w:val="009B4147"/>
    <w:rsid w:val="009B41BE"/>
    <w:rsid w:val="009B4C1D"/>
    <w:rsid w:val="009B5EA5"/>
    <w:rsid w:val="009B6227"/>
    <w:rsid w:val="009B704F"/>
    <w:rsid w:val="009B745B"/>
    <w:rsid w:val="009C1067"/>
    <w:rsid w:val="009C13C0"/>
    <w:rsid w:val="009C1578"/>
    <w:rsid w:val="009C1623"/>
    <w:rsid w:val="009C22D0"/>
    <w:rsid w:val="009C325E"/>
    <w:rsid w:val="009C3613"/>
    <w:rsid w:val="009C389E"/>
    <w:rsid w:val="009C3E91"/>
    <w:rsid w:val="009C3F20"/>
    <w:rsid w:val="009C5195"/>
    <w:rsid w:val="009C5A81"/>
    <w:rsid w:val="009C6648"/>
    <w:rsid w:val="009C737A"/>
    <w:rsid w:val="009D031D"/>
    <w:rsid w:val="009D1160"/>
    <w:rsid w:val="009D1F75"/>
    <w:rsid w:val="009D22B5"/>
    <w:rsid w:val="009D2B18"/>
    <w:rsid w:val="009D3A00"/>
    <w:rsid w:val="009D6C3F"/>
    <w:rsid w:val="009D7EA1"/>
    <w:rsid w:val="009E1E05"/>
    <w:rsid w:val="009E2982"/>
    <w:rsid w:val="009E31B1"/>
    <w:rsid w:val="009E3C50"/>
    <w:rsid w:val="009E48C7"/>
    <w:rsid w:val="009E4D97"/>
    <w:rsid w:val="009E5A22"/>
    <w:rsid w:val="009E601E"/>
    <w:rsid w:val="009E60DC"/>
    <w:rsid w:val="009E6B8B"/>
    <w:rsid w:val="009E6EA8"/>
    <w:rsid w:val="009F11A9"/>
    <w:rsid w:val="009F1560"/>
    <w:rsid w:val="009F1F67"/>
    <w:rsid w:val="009F3974"/>
    <w:rsid w:val="009F46AB"/>
    <w:rsid w:val="009F5310"/>
    <w:rsid w:val="009F5D4A"/>
    <w:rsid w:val="009F6612"/>
    <w:rsid w:val="009F77B4"/>
    <w:rsid w:val="009F7B98"/>
    <w:rsid w:val="00A0114D"/>
    <w:rsid w:val="00A014FE"/>
    <w:rsid w:val="00A01B1A"/>
    <w:rsid w:val="00A02860"/>
    <w:rsid w:val="00A02C14"/>
    <w:rsid w:val="00A03DFE"/>
    <w:rsid w:val="00A04465"/>
    <w:rsid w:val="00A045F2"/>
    <w:rsid w:val="00A04BA1"/>
    <w:rsid w:val="00A052E8"/>
    <w:rsid w:val="00A054D6"/>
    <w:rsid w:val="00A05CA0"/>
    <w:rsid w:val="00A05CD1"/>
    <w:rsid w:val="00A0609D"/>
    <w:rsid w:val="00A10970"/>
    <w:rsid w:val="00A11E6B"/>
    <w:rsid w:val="00A12171"/>
    <w:rsid w:val="00A12312"/>
    <w:rsid w:val="00A12951"/>
    <w:rsid w:val="00A12E85"/>
    <w:rsid w:val="00A13186"/>
    <w:rsid w:val="00A137CB"/>
    <w:rsid w:val="00A13CDF"/>
    <w:rsid w:val="00A14C05"/>
    <w:rsid w:val="00A15AF5"/>
    <w:rsid w:val="00A16F8B"/>
    <w:rsid w:val="00A17F05"/>
    <w:rsid w:val="00A201DE"/>
    <w:rsid w:val="00A21078"/>
    <w:rsid w:val="00A21834"/>
    <w:rsid w:val="00A22518"/>
    <w:rsid w:val="00A22CDD"/>
    <w:rsid w:val="00A23AED"/>
    <w:rsid w:val="00A241ED"/>
    <w:rsid w:val="00A242BE"/>
    <w:rsid w:val="00A24381"/>
    <w:rsid w:val="00A24FA5"/>
    <w:rsid w:val="00A25EE7"/>
    <w:rsid w:val="00A275DD"/>
    <w:rsid w:val="00A30204"/>
    <w:rsid w:val="00A3021B"/>
    <w:rsid w:val="00A302F3"/>
    <w:rsid w:val="00A3125F"/>
    <w:rsid w:val="00A316CE"/>
    <w:rsid w:val="00A31C49"/>
    <w:rsid w:val="00A32419"/>
    <w:rsid w:val="00A32C87"/>
    <w:rsid w:val="00A33792"/>
    <w:rsid w:val="00A34812"/>
    <w:rsid w:val="00A34B1A"/>
    <w:rsid w:val="00A36BDA"/>
    <w:rsid w:val="00A36C81"/>
    <w:rsid w:val="00A43671"/>
    <w:rsid w:val="00A44AF3"/>
    <w:rsid w:val="00A460B0"/>
    <w:rsid w:val="00A46594"/>
    <w:rsid w:val="00A46C8B"/>
    <w:rsid w:val="00A46D38"/>
    <w:rsid w:val="00A477AF"/>
    <w:rsid w:val="00A535C2"/>
    <w:rsid w:val="00A539A7"/>
    <w:rsid w:val="00A53C16"/>
    <w:rsid w:val="00A54CE1"/>
    <w:rsid w:val="00A55566"/>
    <w:rsid w:val="00A5562D"/>
    <w:rsid w:val="00A567E3"/>
    <w:rsid w:val="00A60739"/>
    <w:rsid w:val="00A60FC9"/>
    <w:rsid w:val="00A618B7"/>
    <w:rsid w:val="00A61BE7"/>
    <w:rsid w:val="00A62269"/>
    <w:rsid w:val="00A62E2A"/>
    <w:rsid w:val="00A63C7F"/>
    <w:rsid w:val="00A64D79"/>
    <w:rsid w:val="00A6503D"/>
    <w:rsid w:val="00A65567"/>
    <w:rsid w:val="00A66C90"/>
    <w:rsid w:val="00A67DF5"/>
    <w:rsid w:val="00A70289"/>
    <w:rsid w:val="00A70D39"/>
    <w:rsid w:val="00A70EC3"/>
    <w:rsid w:val="00A718F6"/>
    <w:rsid w:val="00A72F06"/>
    <w:rsid w:val="00A74D72"/>
    <w:rsid w:val="00A75B3D"/>
    <w:rsid w:val="00A764BC"/>
    <w:rsid w:val="00A76CB6"/>
    <w:rsid w:val="00A774A6"/>
    <w:rsid w:val="00A77E69"/>
    <w:rsid w:val="00A8044A"/>
    <w:rsid w:val="00A80E9C"/>
    <w:rsid w:val="00A81B90"/>
    <w:rsid w:val="00A81CCE"/>
    <w:rsid w:val="00A8352A"/>
    <w:rsid w:val="00A84769"/>
    <w:rsid w:val="00A84776"/>
    <w:rsid w:val="00A852D2"/>
    <w:rsid w:val="00A863A3"/>
    <w:rsid w:val="00A86DA1"/>
    <w:rsid w:val="00A8777C"/>
    <w:rsid w:val="00A90226"/>
    <w:rsid w:val="00A90295"/>
    <w:rsid w:val="00A90951"/>
    <w:rsid w:val="00A90991"/>
    <w:rsid w:val="00A90E1E"/>
    <w:rsid w:val="00A912AC"/>
    <w:rsid w:val="00A91C59"/>
    <w:rsid w:val="00A924DD"/>
    <w:rsid w:val="00A92962"/>
    <w:rsid w:val="00A93166"/>
    <w:rsid w:val="00A93DFE"/>
    <w:rsid w:val="00A942ED"/>
    <w:rsid w:val="00A959EE"/>
    <w:rsid w:val="00A95F35"/>
    <w:rsid w:val="00A96288"/>
    <w:rsid w:val="00A963F9"/>
    <w:rsid w:val="00A96ABD"/>
    <w:rsid w:val="00AA02A2"/>
    <w:rsid w:val="00AA217C"/>
    <w:rsid w:val="00AA2DC6"/>
    <w:rsid w:val="00AA3F6A"/>
    <w:rsid w:val="00AA40F5"/>
    <w:rsid w:val="00AA50D7"/>
    <w:rsid w:val="00AA6B66"/>
    <w:rsid w:val="00AA7A63"/>
    <w:rsid w:val="00AB01C9"/>
    <w:rsid w:val="00AB027F"/>
    <w:rsid w:val="00AB0754"/>
    <w:rsid w:val="00AB1422"/>
    <w:rsid w:val="00AB1CD5"/>
    <w:rsid w:val="00AB1E4E"/>
    <w:rsid w:val="00AB250A"/>
    <w:rsid w:val="00AB293E"/>
    <w:rsid w:val="00AB49CE"/>
    <w:rsid w:val="00AB4C7B"/>
    <w:rsid w:val="00AB4D57"/>
    <w:rsid w:val="00AB5290"/>
    <w:rsid w:val="00AB6467"/>
    <w:rsid w:val="00AB71ED"/>
    <w:rsid w:val="00AB74A5"/>
    <w:rsid w:val="00AB78F0"/>
    <w:rsid w:val="00AB7EE7"/>
    <w:rsid w:val="00AC007B"/>
    <w:rsid w:val="00AC050E"/>
    <w:rsid w:val="00AC0CFE"/>
    <w:rsid w:val="00AC1570"/>
    <w:rsid w:val="00AC2757"/>
    <w:rsid w:val="00AC4710"/>
    <w:rsid w:val="00AC5096"/>
    <w:rsid w:val="00AC547D"/>
    <w:rsid w:val="00AC5D93"/>
    <w:rsid w:val="00AC66F6"/>
    <w:rsid w:val="00AC6C77"/>
    <w:rsid w:val="00AC7C87"/>
    <w:rsid w:val="00AD020D"/>
    <w:rsid w:val="00AD11D7"/>
    <w:rsid w:val="00AD1590"/>
    <w:rsid w:val="00AD3F33"/>
    <w:rsid w:val="00AD446D"/>
    <w:rsid w:val="00AD4EFF"/>
    <w:rsid w:val="00AD4F6E"/>
    <w:rsid w:val="00AD6A86"/>
    <w:rsid w:val="00AD6B32"/>
    <w:rsid w:val="00AD6E3C"/>
    <w:rsid w:val="00AD6F2C"/>
    <w:rsid w:val="00AE1009"/>
    <w:rsid w:val="00AE1F27"/>
    <w:rsid w:val="00AE2895"/>
    <w:rsid w:val="00AE3A0E"/>
    <w:rsid w:val="00AE3D33"/>
    <w:rsid w:val="00AE402C"/>
    <w:rsid w:val="00AE41A3"/>
    <w:rsid w:val="00AE426A"/>
    <w:rsid w:val="00AE4305"/>
    <w:rsid w:val="00AE495C"/>
    <w:rsid w:val="00AE4A60"/>
    <w:rsid w:val="00AE4DF7"/>
    <w:rsid w:val="00AE5096"/>
    <w:rsid w:val="00AE521D"/>
    <w:rsid w:val="00AE5681"/>
    <w:rsid w:val="00AE6138"/>
    <w:rsid w:val="00AF122E"/>
    <w:rsid w:val="00AF1AFD"/>
    <w:rsid w:val="00AF2AA1"/>
    <w:rsid w:val="00AF42E4"/>
    <w:rsid w:val="00AF42FC"/>
    <w:rsid w:val="00AF436F"/>
    <w:rsid w:val="00AF43D2"/>
    <w:rsid w:val="00AF4966"/>
    <w:rsid w:val="00AF5478"/>
    <w:rsid w:val="00AF682E"/>
    <w:rsid w:val="00AF699B"/>
    <w:rsid w:val="00AF7461"/>
    <w:rsid w:val="00AF77A9"/>
    <w:rsid w:val="00B0002F"/>
    <w:rsid w:val="00B012B1"/>
    <w:rsid w:val="00B016A4"/>
    <w:rsid w:val="00B01A35"/>
    <w:rsid w:val="00B04972"/>
    <w:rsid w:val="00B04E09"/>
    <w:rsid w:val="00B058EA"/>
    <w:rsid w:val="00B0598B"/>
    <w:rsid w:val="00B060ED"/>
    <w:rsid w:val="00B06538"/>
    <w:rsid w:val="00B06561"/>
    <w:rsid w:val="00B07A51"/>
    <w:rsid w:val="00B07C7B"/>
    <w:rsid w:val="00B1009A"/>
    <w:rsid w:val="00B10E89"/>
    <w:rsid w:val="00B122DC"/>
    <w:rsid w:val="00B12830"/>
    <w:rsid w:val="00B141D9"/>
    <w:rsid w:val="00B14498"/>
    <w:rsid w:val="00B1616C"/>
    <w:rsid w:val="00B1655A"/>
    <w:rsid w:val="00B16974"/>
    <w:rsid w:val="00B21F70"/>
    <w:rsid w:val="00B227C6"/>
    <w:rsid w:val="00B23619"/>
    <w:rsid w:val="00B2422C"/>
    <w:rsid w:val="00B2453F"/>
    <w:rsid w:val="00B25333"/>
    <w:rsid w:val="00B27556"/>
    <w:rsid w:val="00B27873"/>
    <w:rsid w:val="00B3047D"/>
    <w:rsid w:val="00B317E9"/>
    <w:rsid w:val="00B318E8"/>
    <w:rsid w:val="00B31DE9"/>
    <w:rsid w:val="00B3349D"/>
    <w:rsid w:val="00B33F20"/>
    <w:rsid w:val="00B347AA"/>
    <w:rsid w:val="00B36938"/>
    <w:rsid w:val="00B37136"/>
    <w:rsid w:val="00B4115F"/>
    <w:rsid w:val="00B4133F"/>
    <w:rsid w:val="00B42FBD"/>
    <w:rsid w:val="00B4361E"/>
    <w:rsid w:val="00B43F91"/>
    <w:rsid w:val="00B44638"/>
    <w:rsid w:val="00B44786"/>
    <w:rsid w:val="00B4482F"/>
    <w:rsid w:val="00B448A6"/>
    <w:rsid w:val="00B44BBF"/>
    <w:rsid w:val="00B45CCB"/>
    <w:rsid w:val="00B460C0"/>
    <w:rsid w:val="00B46D0E"/>
    <w:rsid w:val="00B46FBF"/>
    <w:rsid w:val="00B47577"/>
    <w:rsid w:val="00B47C78"/>
    <w:rsid w:val="00B47F9B"/>
    <w:rsid w:val="00B50CFA"/>
    <w:rsid w:val="00B51AD4"/>
    <w:rsid w:val="00B523CB"/>
    <w:rsid w:val="00B53F84"/>
    <w:rsid w:val="00B54864"/>
    <w:rsid w:val="00B54A9A"/>
    <w:rsid w:val="00B54E0B"/>
    <w:rsid w:val="00B550DE"/>
    <w:rsid w:val="00B552FB"/>
    <w:rsid w:val="00B55D8E"/>
    <w:rsid w:val="00B576A3"/>
    <w:rsid w:val="00B577D6"/>
    <w:rsid w:val="00B623B1"/>
    <w:rsid w:val="00B63505"/>
    <w:rsid w:val="00B6359C"/>
    <w:rsid w:val="00B63691"/>
    <w:rsid w:val="00B640CC"/>
    <w:rsid w:val="00B651CE"/>
    <w:rsid w:val="00B65712"/>
    <w:rsid w:val="00B661C8"/>
    <w:rsid w:val="00B66A92"/>
    <w:rsid w:val="00B6719C"/>
    <w:rsid w:val="00B67D24"/>
    <w:rsid w:val="00B70005"/>
    <w:rsid w:val="00B71660"/>
    <w:rsid w:val="00B716C7"/>
    <w:rsid w:val="00B7192B"/>
    <w:rsid w:val="00B71D88"/>
    <w:rsid w:val="00B71E96"/>
    <w:rsid w:val="00B71FAA"/>
    <w:rsid w:val="00B725C4"/>
    <w:rsid w:val="00B72979"/>
    <w:rsid w:val="00B778F1"/>
    <w:rsid w:val="00B77B11"/>
    <w:rsid w:val="00B77B49"/>
    <w:rsid w:val="00B77CCF"/>
    <w:rsid w:val="00B77D5E"/>
    <w:rsid w:val="00B80549"/>
    <w:rsid w:val="00B80F72"/>
    <w:rsid w:val="00B8111F"/>
    <w:rsid w:val="00B82423"/>
    <w:rsid w:val="00B8401A"/>
    <w:rsid w:val="00B86877"/>
    <w:rsid w:val="00B901C0"/>
    <w:rsid w:val="00B90938"/>
    <w:rsid w:val="00B91C3C"/>
    <w:rsid w:val="00B921FE"/>
    <w:rsid w:val="00B92CC1"/>
    <w:rsid w:val="00B94B17"/>
    <w:rsid w:val="00B95B4B"/>
    <w:rsid w:val="00B96FBB"/>
    <w:rsid w:val="00B977A7"/>
    <w:rsid w:val="00B97864"/>
    <w:rsid w:val="00BA04D5"/>
    <w:rsid w:val="00BA19E9"/>
    <w:rsid w:val="00BA2186"/>
    <w:rsid w:val="00BA2A55"/>
    <w:rsid w:val="00BA3E6B"/>
    <w:rsid w:val="00BA5292"/>
    <w:rsid w:val="00BA5660"/>
    <w:rsid w:val="00BA64A4"/>
    <w:rsid w:val="00BA69E0"/>
    <w:rsid w:val="00BA7536"/>
    <w:rsid w:val="00BA772A"/>
    <w:rsid w:val="00BA7E6F"/>
    <w:rsid w:val="00BB13FB"/>
    <w:rsid w:val="00BB2092"/>
    <w:rsid w:val="00BB223D"/>
    <w:rsid w:val="00BB3066"/>
    <w:rsid w:val="00BB39C2"/>
    <w:rsid w:val="00BB5AE0"/>
    <w:rsid w:val="00BB6A92"/>
    <w:rsid w:val="00BB6F5A"/>
    <w:rsid w:val="00BB72A0"/>
    <w:rsid w:val="00BB7477"/>
    <w:rsid w:val="00BB7D01"/>
    <w:rsid w:val="00BC0290"/>
    <w:rsid w:val="00BC174C"/>
    <w:rsid w:val="00BC175D"/>
    <w:rsid w:val="00BC1C45"/>
    <w:rsid w:val="00BC2545"/>
    <w:rsid w:val="00BC4D55"/>
    <w:rsid w:val="00BC502C"/>
    <w:rsid w:val="00BC56EC"/>
    <w:rsid w:val="00BC5B4A"/>
    <w:rsid w:val="00BC64AD"/>
    <w:rsid w:val="00BD06A4"/>
    <w:rsid w:val="00BD0F00"/>
    <w:rsid w:val="00BD12D8"/>
    <w:rsid w:val="00BD162F"/>
    <w:rsid w:val="00BD2014"/>
    <w:rsid w:val="00BD2CF7"/>
    <w:rsid w:val="00BD32EF"/>
    <w:rsid w:val="00BD3433"/>
    <w:rsid w:val="00BD40C1"/>
    <w:rsid w:val="00BD4337"/>
    <w:rsid w:val="00BD4C4F"/>
    <w:rsid w:val="00BD579E"/>
    <w:rsid w:val="00BD5961"/>
    <w:rsid w:val="00BE09B3"/>
    <w:rsid w:val="00BE0B8D"/>
    <w:rsid w:val="00BE0BA0"/>
    <w:rsid w:val="00BE1343"/>
    <w:rsid w:val="00BE146E"/>
    <w:rsid w:val="00BE16BD"/>
    <w:rsid w:val="00BE1D38"/>
    <w:rsid w:val="00BE31EF"/>
    <w:rsid w:val="00BE3E9F"/>
    <w:rsid w:val="00BE5D28"/>
    <w:rsid w:val="00BE695F"/>
    <w:rsid w:val="00BE6F8B"/>
    <w:rsid w:val="00BE702F"/>
    <w:rsid w:val="00BE7B25"/>
    <w:rsid w:val="00BF14A3"/>
    <w:rsid w:val="00BF1DB6"/>
    <w:rsid w:val="00BF256F"/>
    <w:rsid w:val="00BF2D47"/>
    <w:rsid w:val="00BF41E4"/>
    <w:rsid w:val="00BF6738"/>
    <w:rsid w:val="00BF779B"/>
    <w:rsid w:val="00BF7B80"/>
    <w:rsid w:val="00C00698"/>
    <w:rsid w:val="00C00722"/>
    <w:rsid w:val="00C03FB6"/>
    <w:rsid w:val="00C050DE"/>
    <w:rsid w:val="00C05E9A"/>
    <w:rsid w:val="00C069BF"/>
    <w:rsid w:val="00C077D0"/>
    <w:rsid w:val="00C079BE"/>
    <w:rsid w:val="00C10F77"/>
    <w:rsid w:val="00C11726"/>
    <w:rsid w:val="00C119A1"/>
    <w:rsid w:val="00C12427"/>
    <w:rsid w:val="00C12825"/>
    <w:rsid w:val="00C12FBD"/>
    <w:rsid w:val="00C1362A"/>
    <w:rsid w:val="00C13E0E"/>
    <w:rsid w:val="00C15D70"/>
    <w:rsid w:val="00C15EC8"/>
    <w:rsid w:val="00C173A7"/>
    <w:rsid w:val="00C17497"/>
    <w:rsid w:val="00C1774F"/>
    <w:rsid w:val="00C17EFB"/>
    <w:rsid w:val="00C21A45"/>
    <w:rsid w:val="00C22E67"/>
    <w:rsid w:val="00C22F53"/>
    <w:rsid w:val="00C23E84"/>
    <w:rsid w:val="00C24729"/>
    <w:rsid w:val="00C2532B"/>
    <w:rsid w:val="00C26115"/>
    <w:rsid w:val="00C269DB"/>
    <w:rsid w:val="00C27A02"/>
    <w:rsid w:val="00C3013B"/>
    <w:rsid w:val="00C3092C"/>
    <w:rsid w:val="00C30FD9"/>
    <w:rsid w:val="00C3444B"/>
    <w:rsid w:val="00C34829"/>
    <w:rsid w:val="00C34D42"/>
    <w:rsid w:val="00C35654"/>
    <w:rsid w:val="00C35CC9"/>
    <w:rsid w:val="00C36697"/>
    <w:rsid w:val="00C36AFE"/>
    <w:rsid w:val="00C37C3B"/>
    <w:rsid w:val="00C40703"/>
    <w:rsid w:val="00C4095D"/>
    <w:rsid w:val="00C40DF1"/>
    <w:rsid w:val="00C422E4"/>
    <w:rsid w:val="00C4394F"/>
    <w:rsid w:val="00C446DC"/>
    <w:rsid w:val="00C44803"/>
    <w:rsid w:val="00C4498C"/>
    <w:rsid w:val="00C4519D"/>
    <w:rsid w:val="00C464CE"/>
    <w:rsid w:val="00C4699F"/>
    <w:rsid w:val="00C46ECC"/>
    <w:rsid w:val="00C47420"/>
    <w:rsid w:val="00C47B40"/>
    <w:rsid w:val="00C47E98"/>
    <w:rsid w:val="00C50516"/>
    <w:rsid w:val="00C506A6"/>
    <w:rsid w:val="00C512C9"/>
    <w:rsid w:val="00C5139D"/>
    <w:rsid w:val="00C513BB"/>
    <w:rsid w:val="00C54EC7"/>
    <w:rsid w:val="00C54EF1"/>
    <w:rsid w:val="00C54FE6"/>
    <w:rsid w:val="00C5547B"/>
    <w:rsid w:val="00C559DA"/>
    <w:rsid w:val="00C56DFF"/>
    <w:rsid w:val="00C56F3C"/>
    <w:rsid w:val="00C57CCD"/>
    <w:rsid w:val="00C60558"/>
    <w:rsid w:val="00C63C98"/>
    <w:rsid w:val="00C641B8"/>
    <w:rsid w:val="00C654E6"/>
    <w:rsid w:val="00C65613"/>
    <w:rsid w:val="00C67F7F"/>
    <w:rsid w:val="00C67FD5"/>
    <w:rsid w:val="00C70AB2"/>
    <w:rsid w:val="00C70DFB"/>
    <w:rsid w:val="00C72BAB"/>
    <w:rsid w:val="00C73C2E"/>
    <w:rsid w:val="00C73D0E"/>
    <w:rsid w:val="00C748BA"/>
    <w:rsid w:val="00C74A68"/>
    <w:rsid w:val="00C74DE9"/>
    <w:rsid w:val="00C74EE8"/>
    <w:rsid w:val="00C754CA"/>
    <w:rsid w:val="00C75DE3"/>
    <w:rsid w:val="00C7609A"/>
    <w:rsid w:val="00C76317"/>
    <w:rsid w:val="00C77207"/>
    <w:rsid w:val="00C805C2"/>
    <w:rsid w:val="00C8146D"/>
    <w:rsid w:val="00C81E33"/>
    <w:rsid w:val="00C8496A"/>
    <w:rsid w:val="00C8599A"/>
    <w:rsid w:val="00C86150"/>
    <w:rsid w:val="00C871AC"/>
    <w:rsid w:val="00C9071C"/>
    <w:rsid w:val="00C9117A"/>
    <w:rsid w:val="00C920D1"/>
    <w:rsid w:val="00C939B9"/>
    <w:rsid w:val="00C95178"/>
    <w:rsid w:val="00C95380"/>
    <w:rsid w:val="00C95C03"/>
    <w:rsid w:val="00C968AC"/>
    <w:rsid w:val="00C96FA8"/>
    <w:rsid w:val="00C971A6"/>
    <w:rsid w:val="00C975CF"/>
    <w:rsid w:val="00C97789"/>
    <w:rsid w:val="00C977AA"/>
    <w:rsid w:val="00CA06AA"/>
    <w:rsid w:val="00CA0C9A"/>
    <w:rsid w:val="00CA17B3"/>
    <w:rsid w:val="00CA195B"/>
    <w:rsid w:val="00CA2624"/>
    <w:rsid w:val="00CA3C40"/>
    <w:rsid w:val="00CA4AC3"/>
    <w:rsid w:val="00CA59EE"/>
    <w:rsid w:val="00CA5C4F"/>
    <w:rsid w:val="00CA6010"/>
    <w:rsid w:val="00CA688E"/>
    <w:rsid w:val="00CA6C78"/>
    <w:rsid w:val="00CA743D"/>
    <w:rsid w:val="00CA758D"/>
    <w:rsid w:val="00CB07D3"/>
    <w:rsid w:val="00CB0D60"/>
    <w:rsid w:val="00CB1411"/>
    <w:rsid w:val="00CB19DF"/>
    <w:rsid w:val="00CB1B21"/>
    <w:rsid w:val="00CB1EB7"/>
    <w:rsid w:val="00CB2F0E"/>
    <w:rsid w:val="00CB3674"/>
    <w:rsid w:val="00CB3CF4"/>
    <w:rsid w:val="00CB42D6"/>
    <w:rsid w:val="00CB439A"/>
    <w:rsid w:val="00CB4585"/>
    <w:rsid w:val="00CB65DF"/>
    <w:rsid w:val="00CB6952"/>
    <w:rsid w:val="00CB7797"/>
    <w:rsid w:val="00CB7B65"/>
    <w:rsid w:val="00CB7F50"/>
    <w:rsid w:val="00CC1893"/>
    <w:rsid w:val="00CC1FDF"/>
    <w:rsid w:val="00CC3D51"/>
    <w:rsid w:val="00CC5693"/>
    <w:rsid w:val="00CC593D"/>
    <w:rsid w:val="00CC5F24"/>
    <w:rsid w:val="00CC69C0"/>
    <w:rsid w:val="00CC69E5"/>
    <w:rsid w:val="00CC7F97"/>
    <w:rsid w:val="00CD019D"/>
    <w:rsid w:val="00CD0BDA"/>
    <w:rsid w:val="00CD1593"/>
    <w:rsid w:val="00CD1E01"/>
    <w:rsid w:val="00CD1FFC"/>
    <w:rsid w:val="00CD4ABC"/>
    <w:rsid w:val="00CD4EFC"/>
    <w:rsid w:val="00CD755D"/>
    <w:rsid w:val="00CD77A7"/>
    <w:rsid w:val="00CD7B22"/>
    <w:rsid w:val="00CD7CDA"/>
    <w:rsid w:val="00CE05C3"/>
    <w:rsid w:val="00CE2A5F"/>
    <w:rsid w:val="00CE46BB"/>
    <w:rsid w:val="00CE4CED"/>
    <w:rsid w:val="00CE4FCF"/>
    <w:rsid w:val="00CE51D9"/>
    <w:rsid w:val="00CE61D0"/>
    <w:rsid w:val="00CE6D5F"/>
    <w:rsid w:val="00CF16AD"/>
    <w:rsid w:val="00CF208B"/>
    <w:rsid w:val="00CF3162"/>
    <w:rsid w:val="00CF3DD6"/>
    <w:rsid w:val="00CF5082"/>
    <w:rsid w:val="00CF5A74"/>
    <w:rsid w:val="00CF647F"/>
    <w:rsid w:val="00CF6FA7"/>
    <w:rsid w:val="00CF7086"/>
    <w:rsid w:val="00CF7F81"/>
    <w:rsid w:val="00D0153C"/>
    <w:rsid w:val="00D018DE"/>
    <w:rsid w:val="00D019A4"/>
    <w:rsid w:val="00D01E0C"/>
    <w:rsid w:val="00D034E1"/>
    <w:rsid w:val="00D034E5"/>
    <w:rsid w:val="00D0376A"/>
    <w:rsid w:val="00D03DC9"/>
    <w:rsid w:val="00D03EC1"/>
    <w:rsid w:val="00D04CB6"/>
    <w:rsid w:val="00D05246"/>
    <w:rsid w:val="00D05B51"/>
    <w:rsid w:val="00D05DFF"/>
    <w:rsid w:val="00D062AD"/>
    <w:rsid w:val="00D1043D"/>
    <w:rsid w:val="00D10583"/>
    <w:rsid w:val="00D111EC"/>
    <w:rsid w:val="00D111FC"/>
    <w:rsid w:val="00D122A4"/>
    <w:rsid w:val="00D1266A"/>
    <w:rsid w:val="00D13F34"/>
    <w:rsid w:val="00D14FDF"/>
    <w:rsid w:val="00D1559E"/>
    <w:rsid w:val="00D158FC"/>
    <w:rsid w:val="00D16AD3"/>
    <w:rsid w:val="00D203FB"/>
    <w:rsid w:val="00D22468"/>
    <w:rsid w:val="00D2276A"/>
    <w:rsid w:val="00D22FE9"/>
    <w:rsid w:val="00D2343E"/>
    <w:rsid w:val="00D238F2"/>
    <w:rsid w:val="00D244A5"/>
    <w:rsid w:val="00D247C5"/>
    <w:rsid w:val="00D26175"/>
    <w:rsid w:val="00D273DF"/>
    <w:rsid w:val="00D27DCC"/>
    <w:rsid w:val="00D30974"/>
    <w:rsid w:val="00D30FB5"/>
    <w:rsid w:val="00D30FEE"/>
    <w:rsid w:val="00D3111C"/>
    <w:rsid w:val="00D31E62"/>
    <w:rsid w:val="00D3322B"/>
    <w:rsid w:val="00D33F70"/>
    <w:rsid w:val="00D340B8"/>
    <w:rsid w:val="00D3438F"/>
    <w:rsid w:val="00D3472C"/>
    <w:rsid w:val="00D34B04"/>
    <w:rsid w:val="00D34C13"/>
    <w:rsid w:val="00D350D5"/>
    <w:rsid w:val="00D3618E"/>
    <w:rsid w:val="00D36650"/>
    <w:rsid w:val="00D37C96"/>
    <w:rsid w:val="00D41229"/>
    <w:rsid w:val="00D41A55"/>
    <w:rsid w:val="00D41B7E"/>
    <w:rsid w:val="00D4217B"/>
    <w:rsid w:val="00D43EFB"/>
    <w:rsid w:val="00D4743F"/>
    <w:rsid w:val="00D47967"/>
    <w:rsid w:val="00D50190"/>
    <w:rsid w:val="00D501C9"/>
    <w:rsid w:val="00D5025F"/>
    <w:rsid w:val="00D51A3C"/>
    <w:rsid w:val="00D51DE7"/>
    <w:rsid w:val="00D5359A"/>
    <w:rsid w:val="00D5468C"/>
    <w:rsid w:val="00D54DF7"/>
    <w:rsid w:val="00D5589F"/>
    <w:rsid w:val="00D55A07"/>
    <w:rsid w:val="00D55B19"/>
    <w:rsid w:val="00D5680F"/>
    <w:rsid w:val="00D56906"/>
    <w:rsid w:val="00D56B9E"/>
    <w:rsid w:val="00D57252"/>
    <w:rsid w:val="00D574C3"/>
    <w:rsid w:val="00D5792D"/>
    <w:rsid w:val="00D57E1D"/>
    <w:rsid w:val="00D6114C"/>
    <w:rsid w:val="00D626AF"/>
    <w:rsid w:val="00D6299E"/>
    <w:rsid w:val="00D62C32"/>
    <w:rsid w:val="00D63ACB"/>
    <w:rsid w:val="00D63C31"/>
    <w:rsid w:val="00D63C6B"/>
    <w:rsid w:val="00D63D11"/>
    <w:rsid w:val="00D63FD9"/>
    <w:rsid w:val="00D64744"/>
    <w:rsid w:val="00D64AD1"/>
    <w:rsid w:val="00D65322"/>
    <w:rsid w:val="00D65475"/>
    <w:rsid w:val="00D65838"/>
    <w:rsid w:val="00D65C2C"/>
    <w:rsid w:val="00D65FC2"/>
    <w:rsid w:val="00D670BD"/>
    <w:rsid w:val="00D67242"/>
    <w:rsid w:val="00D67330"/>
    <w:rsid w:val="00D676E3"/>
    <w:rsid w:val="00D67807"/>
    <w:rsid w:val="00D67F82"/>
    <w:rsid w:val="00D704A9"/>
    <w:rsid w:val="00D704D9"/>
    <w:rsid w:val="00D724EB"/>
    <w:rsid w:val="00D7277E"/>
    <w:rsid w:val="00D73035"/>
    <w:rsid w:val="00D73160"/>
    <w:rsid w:val="00D731CE"/>
    <w:rsid w:val="00D743C5"/>
    <w:rsid w:val="00D7495F"/>
    <w:rsid w:val="00D77984"/>
    <w:rsid w:val="00D80A78"/>
    <w:rsid w:val="00D80DEE"/>
    <w:rsid w:val="00D8150E"/>
    <w:rsid w:val="00D82101"/>
    <w:rsid w:val="00D823F8"/>
    <w:rsid w:val="00D83459"/>
    <w:rsid w:val="00D83711"/>
    <w:rsid w:val="00D83EC2"/>
    <w:rsid w:val="00D844EF"/>
    <w:rsid w:val="00D84AD8"/>
    <w:rsid w:val="00D857DF"/>
    <w:rsid w:val="00D85B7D"/>
    <w:rsid w:val="00D875EC"/>
    <w:rsid w:val="00D875F1"/>
    <w:rsid w:val="00D87888"/>
    <w:rsid w:val="00D87964"/>
    <w:rsid w:val="00D879DF"/>
    <w:rsid w:val="00D91CA6"/>
    <w:rsid w:val="00D92B36"/>
    <w:rsid w:val="00D92E03"/>
    <w:rsid w:val="00D935FB"/>
    <w:rsid w:val="00D9366C"/>
    <w:rsid w:val="00D93D2A"/>
    <w:rsid w:val="00D94D73"/>
    <w:rsid w:val="00D9703C"/>
    <w:rsid w:val="00D9716F"/>
    <w:rsid w:val="00D975DA"/>
    <w:rsid w:val="00D97EF7"/>
    <w:rsid w:val="00DA0814"/>
    <w:rsid w:val="00DA0F58"/>
    <w:rsid w:val="00DA3001"/>
    <w:rsid w:val="00DA31CB"/>
    <w:rsid w:val="00DA3721"/>
    <w:rsid w:val="00DA43DB"/>
    <w:rsid w:val="00DA633A"/>
    <w:rsid w:val="00DA68BF"/>
    <w:rsid w:val="00DA6BF3"/>
    <w:rsid w:val="00DA7031"/>
    <w:rsid w:val="00DA76D0"/>
    <w:rsid w:val="00DB0997"/>
    <w:rsid w:val="00DB13D0"/>
    <w:rsid w:val="00DB2A24"/>
    <w:rsid w:val="00DB31DD"/>
    <w:rsid w:val="00DB4177"/>
    <w:rsid w:val="00DB43B4"/>
    <w:rsid w:val="00DB4C00"/>
    <w:rsid w:val="00DB5FC7"/>
    <w:rsid w:val="00DB6727"/>
    <w:rsid w:val="00DC1F96"/>
    <w:rsid w:val="00DC2D38"/>
    <w:rsid w:val="00DC3E9D"/>
    <w:rsid w:val="00DC3F34"/>
    <w:rsid w:val="00DC4602"/>
    <w:rsid w:val="00DC59C8"/>
    <w:rsid w:val="00DC5EBF"/>
    <w:rsid w:val="00DC6762"/>
    <w:rsid w:val="00DC6F97"/>
    <w:rsid w:val="00DD09A0"/>
    <w:rsid w:val="00DD2D68"/>
    <w:rsid w:val="00DD3119"/>
    <w:rsid w:val="00DD3626"/>
    <w:rsid w:val="00DD439C"/>
    <w:rsid w:val="00DD4575"/>
    <w:rsid w:val="00DD4B46"/>
    <w:rsid w:val="00DD520E"/>
    <w:rsid w:val="00DD624F"/>
    <w:rsid w:val="00DD65CD"/>
    <w:rsid w:val="00DD6711"/>
    <w:rsid w:val="00DD6CF3"/>
    <w:rsid w:val="00DE020E"/>
    <w:rsid w:val="00DE07C2"/>
    <w:rsid w:val="00DE23D2"/>
    <w:rsid w:val="00DE28A8"/>
    <w:rsid w:val="00DE324A"/>
    <w:rsid w:val="00DE3357"/>
    <w:rsid w:val="00DE3375"/>
    <w:rsid w:val="00DE40DB"/>
    <w:rsid w:val="00DE594C"/>
    <w:rsid w:val="00DE59D6"/>
    <w:rsid w:val="00DE5B9C"/>
    <w:rsid w:val="00DF01CA"/>
    <w:rsid w:val="00DF0DC8"/>
    <w:rsid w:val="00DF1231"/>
    <w:rsid w:val="00DF1ACB"/>
    <w:rsid w:val="00DF1F98"/>
    <w:rsid w:val="00DF32B3"/>
    <w:rsid w:val="00DF35B4"/>
    <w:rsid w:val="00DF3EA9"/>
    <w:rsid w:val="00DF55E9"/>
    <w:rsid w:val="00DF57A7"/>
    <w:rsid w:val="00DF594B"/>
    <w:rsid w:val="00DF634F"/>
    <w:rsid w:val="00DF6AB1"/>
    <w:rsid w:val="00DF6FC5"/>
    <w:rsid w:val="00DF7751"/>
    <w:rsid w:val="00E002EE"/>
    <w:rsid w:val="00E01032"/>
    <w:rsid w:val="00E012DD"/>
    <w:rsid w:val="00E01A61"/>
    <w:rsid w:val="00E01B83"/>
    <w:rsid w:val="00E02A84"/>
    <w:rsid w:val="00E02DD4"/>
    <w:rsid w:val="00E03B1B"/>
    <w:rsid w:val="00E03F4F"/>
    <w:rsid w:val="00E0440A"/>
    <w:rsid w:val="00E04CFB"/>
    <w:rsid w:val="00E04E2A"/>
    <w:rsid w:val="00E05A9B"/>
    <w:rsid w:val="00E05BE5"/>
    <w:rsid w:val="00E05F6B"/>
    <w:rsid w:val="00E068EC"/>
    <w:rsid w:val="00E06B89"/>
    <w:rsid w:val="00E100FC"/>
    <w:rsid w:val="00E1015A"/>
    <w:rsid w:val="00E109EA"/>
    <w:rsid w:val="00E11B6D"/>
    <w:rsid w:val="00E11BF5"/>
    <w:rsid w:val="00E11C53"/>
    <w:rsid w:val="00E1437C"/>
    <w:rsid w:val="00E1453D"/>
    <w:rsid w:val="00E1508B"/>
    <w:rsid w:val="00E15136"/>
    <w:rsid w:val="00E155F6"/>
    <w:rsid w:val="00E16E7E"/>
    <w:rsid w:val="00E1715D"/>
    <w:rsid w:val="00E17309"/>
    <w:rsid w:val="00E17316"/>
    <w:rsid w:val="00E1779A"/>
    <w:rsid w:val="00E17B00"/>
    <w:rsid w:val="00E20320"/>
    <w:rsid w:val="00E20DC1"/>
    <w:rsid w:val="00E21284"/>
    <w:rsid w:val="00E221F8"/>
    <w:rsid w:val="00E223BC"/>
    <w:rsid w:val="00E22A14"/>
    <w:rsid w:val="00E22ED3"/>
    <w:rsid w:val="00E23509"/>
    <w:rsid w:val="00E23FB5"/>
    <w:rsid w:val="00E26857"/>
    <w:rsid w:val="00E2776A"/>
    <w:rsid w:val="00E30A6E"/>
    <w:rsid w:val="00E33EBA"/>
    <w:rsid w:val="00E34052"/>
    <w:rsid w:val="00E3546E"/>
    <w:rsid w:val="00E356D7"/>
    <w:rsid w:val="00E363C2"/>
    <w:rsid w:val="00E3767D"/>
    <w:rsid w:val="00E40750"/>
    <w:rsid w:val="00E40786"/>
    <w:rsid w:val="00E41855"/>
    <w:rsid w:val="00E41E61"/>
    <w:rsid w:val="00E41F18"/>
    <w:rsid w:val="00E41FA7"/>
    <w:rsid w:val="00E423CE"/>
    <w:rsid w:val="00E42522"/>
    <w:rsid w:val="00E431FC"/>
    <w:rsid w:val="00E437C6"/>
    <w:rsid w:val="00E45262"/>
    <w:rsid w:val="00E46FE0"/>
    <w:rsid w:val="00E472D1"/>
    <w:rsid w:val="00E5111E"/>
    <w:rsid w:val="00E532A1"/>
    <w:rsid w:val="00E5347F"/>
    <w:rsid w:val="00E536F4"/>
    <w:rsid w:val="00E5418D"/>
    <w:rsid w:val="00E55EF1"/>
    <w:rsid w:val="00E5658E"/>
    <w:rsid w:val="00E566F5"/>
    <w:rsid w:val="00E57C45"/>
    <w:rsid w:val="00E60035"/>
    <w:rsid w:val="00E60917"/>
    <w:rsid w:val="00E60B3A"/>
    <w:rsid w:val="00E60D3F"/>
    <w:rsid w:val="00E61327"/>
    <w:rsid w:val="00E618D6"/>
    <w:rsid w:val="00E61B38"/>
    <w:rsid w:val="00E61B42"/>
    <w:rsid w:val="00E61F2D"/>
    <w:rsid w:val="00E62A9F"/>
    <w:rsid w:val="00E63AF8"/>
    <w:rsid w:val="00E63DD2"/>
    <w:rsid w:val="00E64AAA"/>
    <w:rsid w:val="00E66264"/>
    <w:rsid w:val="00E66D66"/>
    <w:rsid w:val="00E67672"/>
    <w:rsid w:val="00E71E99"/>
    <w:rsid w:val="00E71F6E"/>
    <w:rsid w:val="00E7208B"/>
    <w:rsid w:val="00E72D12"/>
    <w:rsid w:val="00E7331D"/>
    <w:rsid w:val="00E73B44"/>
    <w:rsid w:val="00E73E88"/>
    <w:rsid w:val="00E7523C"/>
    <w:rsid w:val="00E75622"/>
    <w:rsid w:val="00E75788"/>
    <w:rsid w:val="00E757A7"/>
    <w:rsid w:val="00E76AF5"/>
    <w:rsid w:val="00E77980"/>
    <w:rsid w:val="00E802AF"/>
    <w:rsid w:val="00E80339"/>
    <w:rsid w:val="00E80880"/>
    <w:rsid w:val="00E826F3"/>
    <w:rsid w:val="00E83EFB"/>
    <w:rsid w:val="00E872F8"/>
    <w:rsid w:val="00E87336"/>
    <w:rsid w:val="00E87D27"/>
    <w:rsid w:val="00E90B83"/>
    <w:rsid w:val="00E9195D"/>
    <w:rsid w:val="00E91CD8"/>
    <w:rsid w:val="00E92066"/>
    <w:rsid w:val="00E92FC3"/>
    <w:rsid w:val="00E92FCA"/>
    <w:rsid w:val="00E93444"/>
    <w:rsid w:val="00E93CB4"/>
    <w:rsid w:val="00E947AE"/>
    <w:rsid w:val="00E94E78"/>
    <w:rsid w:val="00E958E1"/>
    <w:rsid w:val="00E9683B"/>
    <w:rsid w:val="00E96B69"/>
    <w:rsid w:val="00E973C4"/>
    <w:rsid w:val="00E97E0F"/>
    <w:rsid w:val="00EA0C71"/>
    <w:rsid w:val="00EA2993"/>
    <w:rsid w:val="00EA3209"/>
    <w:rsid w:val="00EA404A"/>
    <w:rsid w:val="00EA4A5B"/>
    <w:rsid w:val="00EA53E8"/>
    <w:rsid w:val="00EA568D"/>
    <w:rsid w:val="00EA57DA"/>
    <w:rsid w:val="00EA607B"/>
    <w:rsid w:val="00EB00D6"/>
    <w:rsid w:val="00EB0332"/>
    <w:rsid w:val="00EB071F"/>
    <w:rsid w:val="00EB12CA"/>
    <w:rsid w:val="00EB2211"/>
    <w:rsid w:val="00EB3958"/>
    <w:rsid w:val="00EB4E9C"/>
    <w:rsid w:val="00EB50CF"/>
    <w:rsid w:val="00EB5C4C"/>
    <w:rsid w:val="00EC02B7"/>
    <w:rsid w:val="00EC0C48"/>
    <w:rsid w:val="00EC1236"/>
    <w:rsid w:val="00EC1BE0"/>
    <w:rsid w:val="00EC2379"/>
    <w:rsid w:val="00EC296A"/>
    <w:rsid w:val="00EC31F5"/>
    <w:rsid w:val="00EC34A0"/>
    <w:rsid w:val="00EC3B33"/>
    <w:rsid w:val="00EC5613"/>
    <w:rsid w:val="00EC5959"/>
    <w:rsid w:val="00EC5E84"/>
    <w:rsid w:val="00EC77FF"/>
    <w:rsid w:val="00EC7A8C"/>
    <w:rsid w:val="00EC7C27"/>
    <w:rsid w:val="00ED0523"/>
    <w:rsid w:val="00ED0604"/>
    <w:rsid w:val="00ED126A"/>
    <w:rsid w:val="00ED1C10"/>
    <w:rsid w:val="00ED382B"/>
    <w:rsid w:val="00ED41A5"/>
    <w:rsid w:val="00ED5BBB"/>
    <w:rsid w:val="00ED66D1"/>
    <w:rsid w:val="00EE03E8"/>
    <w:rsid w:val="00EE099E"/>
    <w:rsid w:val="00EE140F"/>
    <w:rsid w:val="00EE195E"/>
    <w:rsid w:val="00EE2680"/>
    <w:rsid w:val="00EE3B37"/>
    <w:rsid w:val="00EE55CD"/>
    <w:rsid w:val="00EE5730"/>
    <w:rsid w:val="00EE5772"/>
    <w:rsid w:val="00EE6556"/>
    <w:rsid w:val="00EE6AC3"/>
    <w:rsid w:val="00EE76D0"/>
    <w:rsid w:val="00EF088E"/>
    <w:rsid w:val="00EF0DE5"/>
    <w:rsid w:val="00EF1902"/>
    <w:rsid w:val="00EF213F"/>
    <w:rsid w:val="00EF24D7"/>
    <w:rsid w:val="00EF2C47"/>
    <w:rsid w:val="00EF34F4"/>
    <w:rsid w:val="00EF471F"/>
    <w:rsid w:val="00EF473B"/>
    <w:rsid w:val="00EF4941"/>
    <w:rsid w:val="00EF55C9"/>
    <w:rsid w:val="00EF5C94"/>
    <w:rsid w:val="00EF5E80"/>
    <w:rsid w:val="00EF60F7"/>
    <w:rsid w:val="00EF6A0B"/>
    <w:rsid w:val="00EF7762"/>
    <w:rsid w:val="00EF7AC5"/>
    <w:rsid w:val="00F007AA"/>
    <w:rsid w:val="00F00844"/>
    <w:rsid w:val="00F00EA2"/>
    <w:rsid w:val="00F0179C"/>
    <w:rsid w:val="00F034F2"/>
    <w:rsid w:val="00F04056"/>
    <w:rsid w:val="00F0582C"/>
    <w:rsid w:val="00F05F24"/>
    <w:rsid w:val="00F06EF2"/>
    <w:rsid w:val="00F10D07"/>
    <w:rsid w:val="00F10DE6"/>
    <w:rsid w:val="00F11100"/>
    <w:rsid w:val="00F11282"/>
    <w:rsid w:val="00F11E19"/>
    <w:rsid w:val="00F12BCE"/>
    <w:rsid w:val="00F12F67"/>
    <w:rsid w:val="00F138F4"/>
    <w:rsid w:val="00F13B16"/>
    <w:rsid w:val="00F13EBA"/>
    <w:rsid w:val="00F1418A"/>
    <w:rsid w:val="00F14DF2"/>
    <w:rsid w:val="00F16DF5"/>
    <w:rsid w:val="00F201CD"/>
    <w:rsid w:val="00F20604"/>
    <w:rsid w:val="00F21670"/>
    <w:rsid w:val="00F21787"/>
    <w:rsid w:val="00F21F79"/>
    <w:rsid w:val="00F2478B"/>
    <w:rsid w:val="00F2498C"/>
    <w:rsid w:val="00F25532"/>
    <w:rsid w:val="00F25820"/>
    <w:rsid w:val="00F266AA"/>
    <w:rsid w:val="00F26F3C"/>
    <w:rsid w:val="00F30128"/>
    <w:rsid w:val="00F30793"/>
    <w:rsid w:val="00F309D9"/>
    <w:rsid w:val="00F31FED"/>
    <w:rsid w:val="00F31FF9"/>
    <w:rsid w:val="00F32406"/>
    <w:rsid w:val="00F32C03"/>
    <w:rsid w:val="00F3357A"/>
    <w:rsid w:val="00F33E42"/>
    <w:rsid w:val="00F34B72"/>
    <w:rsid w:val="00F357AE"/>
    <w:rsid w:val="00F36262"/>
    <w:rsid w:val="00F366EB"/>
    <w:rsid w:val="00F36CF9"/>
    <w:rsid w:val="00F375F2"/>
    <w:rsid w:val="00F409B7"/>
    <w:rsid w:val="00F40C27"/>
    <w:rsid w:val="00F40D0F"/>
    <w:rsid w:val="00F41A86"/>
    <w:rsid w:val="00F42487"/>
    <w:rsid w:val="00F4333B"/>
    <w:rsid w:val="00F43BB8"/>
    <w:rsid w:val="00F445DD"/>
    <w:rsid w:val="00F469D9"/>
    <w:rsid w:val="00F4716F"/>
    <w:rsid w:val="00F50364"/>
    <w:rsid w:val="00F514BD"/>
    <w:rsid w:val="00F5189E"/>
    <w:rsid w:val="00F51DB2"/>
    <w:rsid w:val="00F51E72"/>
    <w:rsid w:val="00F52208"/>
    <w:rsid w:val="00F52262"/>
    <w:rsid w:val="00F5240C"/>
    <w:rsid w:val="00F52430"/>
    <w:rsid w:val="00F54217"/>
    <w:rsid w:val="00F55268"/>
    <w:rsid w:val="00F55566"/>
    <w:rsid w:val="00F56508"/>
    <w:rsid w:val="00F57019"/>
    <w:rsid w:val="00F57409"/>
    <w:rsid w:val="00F574B4"/>
    <w:rsid w:val="00F60475"/>
    <w:rsid w:val="00F60919"/>
    <w:rsid w:val="00F634F2"/>
    <w:rsid w:val="00F63A08"/>
    <w:rsid w:val="00F640F9"/>
    <w:rsid w:val="00F64AA3"/>
    <w:rsid w:val="00F64DF5"/>
    <w:rsid w:val="00F6519E"/>
    <w:rsid w:val="00F6678E"/>
    <w:rsid w:val="00F6699B"/>
    <w:rsid w:val="00F673D8"/>
    <w:rsid w:val="00F67E04"/>
    <w:rsid w:val="00F7200B"/>
    <w:rsid w:val="00F7228A"/>
    <w:rsid w:val="00F73974"/>
    <w:rsid w:val="00F73CDF"/>
    <w:rsid w:val="00F74895"/>
    <w:rsid w:val="00F748C8"/>
    <w:rsid w:val="00F74E92"/>
    <w:rsid w:val="00F75F39"/>
    <w:rsid w:val="00F77515"/>
    <w:rsid w:val="00F77F87"/>
    <w:rsid w:val="00F83480"/>
    <w:rsid w:val="00F839BE"/>
    <w:rsid w:val="00F841BD"/>
    <w:rsid w:val="00F8426E"/>
    <w:rsid w:val="00F848E6"/>
    <w:rsid w:val="00F84D3B"/>
    <w:rsid w:val="00F85034"/>
    <w:rsid w:val="00F85425"/>
    <w:rsid w:val="00F85784"/>
    <w:rsid w:val="00F86238"/>
    <w:rsid w:val="00F86577"/>
    <w:rsid w:val="00F87550"/>
    <w:rsid w:val="00F9046C"/>
    <w:rsid w:val="00F90F5B"/>
    <w:rsid w:val="00F913D4"/>
    <w:rsid w:val="00F91DC0"/>
    <w:rsid w:val="00F9331A"/>
    <w:rsid w:val="00F93C66"/>
    <w:rsid w:val="00F93D8C"/>
    <w:rsid w:val="00F940F9"/>
    <w:rsid w:val="00F945AD"/>
    <w:rsid w:val="00F945B3"/>
    <w:rsid w:val="00F95DF1"/>
    <w:rsid w:val="00F95F83"/>
    <w:rsid w:val="00F963D4"/>
    <w:rsid w:val="00F97E7D"/>
    <w:rsid w:val="00FA1032"/>
    <w:rsid w:val="00FA136F"/>
    <w:rsid w:val="00FA1588"/>
    <w:rsid w:val="00FA2330"/>
    <w:rsid w:val="00FA2F68"/>
    <w:rsid w:val="00FA32D7"/>
    <w:rsid w:val="00FA3E44"/>
    <w:rsid w:val="00FA43E4"/>
    <w:rsid w:val="00FA4EF6"/>
    <w:rsid w:val="00FA5BE8"/>
    <w:rsid w:val="00FA61E0"/>
    <w:rsid w:val="00FA6C03"/>
    <w:rsid w:val="00FA719C"/>
    <w:rsid w:val="00FA73A7"/>
    <w:rsid w:val="00FA7BC1"/>
    <w:rsid w:val="00FB0238"/>
    <w:rsid w:val="00FB27F5"/>
    <w:rsid w:val="00FB2B1E"/>
    <w:rsid w:val="00FB39C9"/>
    <w:rsid w:val="00FB3ABD"/>
    <w:rsid w:val="00FB3CED"/>
    <w:rsid w:val="00FB3F37"/>
    <w:rsid w:val="00FB41F7"/>
    <w:rsid w:val="00FB494C"/>
    <w:rsid w:val="00FB4E0C"/>
    <w:rsid w:val="00FB5368"/>
    <w:rsid w:val="00FB6D82"/>
    <w:rsid w:val="00FB6DAD"/>
    <w:rsid w:val="00FB7920"/>
    <w:rsid w:val="00FB7C4B"/>
    <w:rsid w:val="00FC1760"/>
    <w:rsid w:val="00FC2839"/>
    <w:rsid w:val="00FC414A"/>
    <w:rsid w:val="00FC4AC2"/>
    <w:rsid w:val="00FC5301"/>
    <w:rsid w:val="00FC5B0C"/>
    <w:rsid w:val="00FC5DD1"/>
    <w:rsid w:val="00FC7A92"/>
    <w:rsid w:val="00FC7F8F"/>
    <w:rsid w:val="00FD038A"/>
    <w:rsid w:val="00FD048F"/>
    <w:rsid w:val="00FD0C2F"/>
    <w:rsid w:val="00FD178A"/>
    <w:rsid w:val="00FD1D71"/>
    <w:rsid w:val="00FD2392"/>
    <w:rsid w:val="00FD4748"/>
    <w:rsid w:val="00FD4BD1"/>
    <w:rsid w:val="00FD4C7D"/>
    <w:rsid w:val="00FD4F1B"/>
    <w:rsid w:val="00FD5717"/>
    <w:rsid w:val="00FD7721"/>
    <w:rsid w:val="00FD7EEC"/>
    <w:rsid w:val="00FE0482"/>
    <w:rsid w:val="00FE05DE"/>
    <w:rsid w:val="00FE18A0"/>
    <w:rsid w:val="00FE2C6C"/>
    <w:rsid w:val="00FE3A12"/>
    <w:rsid w:val="00FE4297"/>
    <w:rsid w:val="00FE4467"/>
    <w:rsid w:val="00FE48FE"/>
    <w:rsid w:val="00FE4AA6"/>
    <w:rsid w:val="00FE4ED1"/>
    <w:rsid w:val="00FE6280"/>
    <w:rsid w:val="00FE6341"/>
    <w:rsid w:val="00FE7A45"/>
    <w:rsid w:val="00FF04FF"/>
    <w:rsid w:val="00FF12D2"/>
    <w:rsid w:val="00FF1404"/>
    <w:rsid w:val="00FF150E"/>
    <w:rsid w:val="00FF16FF"/>
    <w:rsid w:val="00FF18C0"/>
    <w:rsid w:val="00FF2035"/>
    <w:rsid w:val="00FF2542"/>
    <w:rsid w:val="00FF28B7"/>
    <w:rsid w:val="00FF38F2"/>
    <w:rsid w:val="00FF3D60"/>
    <w:rsid w:val="00FF3EAC"/>
    <w:rsid w:val="00FF4783"/>
    <w:rsid w:val="00FF4992"/>
    <w:rsid w:val="00FF563D"/>
    <w:rsid w:val="00FF620E"/>
    <w:rsid w:val="00FF643D"/>
    <w:rsid w:val="00FF6451"/>
    <w:rsid w:val="00FF7CD4"/>
    <w:rsid w:val="01CC5388"/>
    <w:rsid w:val="01D2185E"/>
    <w:rsid w:val="01F52FEB"/>
    <w:rsid w:val="02087C76"/>
    <w:rsid w:val="02426636"/>
    <w:rsid w:val="02D643DC"/>
    <w:rsid w:val="03B0049B"/>
    <w:rsid w:val="04722109"/>
    <w:rsid w:val="04E900BB"/>
    <w:rsid w:val="05286898"/>
    <w:rsid w:val="05754D6C"/>
    <w:rsid w:val="05F43034"/>
    <w:rsid w:val="0651072A"/>
    <w:rsid w:val="06683E10"/>
    <w:rsid w:val="06826BED"/>
    <w:rsid w:val="06A649CA"/>
    <w:rsid w:val="077F1214"/>
    <w:rsid w:val="07AB1F28"/>
    <w:rsid w:val="08287DF5"/>
    <w:rsid w:val="082B11B0"/>
    <w:rsid w:val="08470494"/>
    <w:rsid w:val="08993F77"/>
    <w:rsid w:val="09257496"/>
    <w:rsid w:val="09E65B30"/>
    <w:rsid w:val="0A257CF2"/>
    <w:rsid w:val="0ADF4D11"/>
    <w:rsid w:val="0B3407FA"/>
    <w:rsid w:val="0B7044D3"/>
    <w:rsid w:val="0BC82911"/>
    <w:rsid w:val="0C245E65"/>
    <w:rsid w:val="0C363B7C"/>
    <w:rsid w:val="0C932D74"/>
    <w:rsid w:val="0CD62950"/>
    <w:rsid w:val="0D215C21"/>
    <w:rsid w:val="0D5770C7"/>
    <w:rsid w:val="0DE01C47"/>
    <w:rsid w:val="0E014494"/>
    <w:rsid w:val="0E073567"/>
    <w:rsid w:val="0E1D52AA"/>
    <w:rsid w:val="0E803068"/>
    <w:rsid w:val="0EE56C62"/>
    <w:rsid w:val="0F105768"/>
    <w:rsid w:val="10215DEF"/>
    <w:rsid w:val="10234664"/>
    <w:rsid w:val="104C682F"/>
    <w:rsid w:val="10641588"/>
    <w:rsid w:val="119503CC"/>
    <w:rsid w:val="12545D5E"/>
    <w:rsid w:val="12615ED1"/>
    <w:rsid w:val="13415794"/>
    <w:rsid w:val="137A01D6"/>
    <w:rsid w:val="13D47EAC"/>
    <w:rsid w:val="14252B33"/>
    <w:rsid w:val="14985B51"/>
    <w:rsid w:val="159334A4"/>
    <w:rsid w:val="15B243C3"/>
    <w:rsid w:val="15B62300"/>
    <w:rsid w:val="15CB10AB"/>
    <w:rsid w:val="16AC6C78"/>
    <w:rsid w:val="17174A5C"/>
    <w:rsid w:val="17232C1F"/>
    <w:rsid w:val="17402E93"/>
    <w:rsid w:val="17C43E60"/>
    <w:rsid w:val="182E38D8"/>
    <w:rsid w:val="18420E6C"/>
    <w:rsid w:val="186D707D"/>
    <w:rsid w:val="196E79B5"/>
    <w:rsid w:val="19E44002"/>
    <w:rsid w:val="1A2163FB"/>
    <w:rsid w:val="1A39441C"/>
    <w:rsid w:val="1ACC3CEB"/>
    <w:rsid w:val="1B0961ED"/>
    <w:rsid w:val="1C3719B6"/>
    <w:rsid w:val="1CBC5C5B"/>
    <w:rsid w:val="1EC5711B"/>
    <w:rsid w:val="1FF26321"/>
    <w:rsid w:val="2055511E"/>
    <w:rsid w:val="211B5B81"/>
    <w:rsid w:val="21283842"/>
    <w:rsid w:val="218D4F00"/>
    <w:rsid w:val="218E51C9"/>
    <w:rsid w:val="21C2441F"/>
    <w:rsid w:val="220B642B"/>
    <w:rsid w:val="22337017"/>
    <w:rsid w:val="226825F8"/>
    <w:rsid w:val="227D6BA0"/>
    <w:rsid w:val="23500A7A"/>
    <w:rsid w:val="241B7A2B"/>
    <w:rsid w:val="246D3FF2"/>
    <w:rsid w:val="24870852"/>
    <w:rsid w:val="24A0126F"/>
    <w:rsid w:val="25693D2A"/>
    <w:rsid w:val="26136EE3"/>
    <w:rsid w:val="267250F2"/>
    <w:rsid w:val="26FC1DB2"/>
    <w:rsid w:val="272E73CA"/>
    <w:rsid w:val="27403EA8"/>
    <w:rsid w:val="27506859"/>
    <w:rsid w:val="27A578BA"/>
    <w:rsid w:val="28930984"/>
    <w:rsid w:val="28C645A7"/>
    <w:rsid w:val="28E2290C"/>
    <w:rsid w:val="28E2563F"/>
    <w:rsid w:val="29DF05EB"/>
    <w:rsid w:val="2A666490"/>
    <w:rsid w:val="2B692F44"/>
    <w:rsid w:val="2B9E5744"/>
    <w:rsid w:val="2BCB4CA1"/>
    <w:rsid w:val="2BFA1BCC"/>
    <w:rsid w:val="2C405175"/>
    <w:rsid w:val="2CA75337"/>
    <w:rsid w:val="2DEA4657"/>
    <w:rsid w:val="2DEC2C62"/>
    <w:rsid w:val="2DF034B2"/>
    <w:rsid w:val="2DF56EAD"/>
    <w:rsid w:val="2E3803D8"/>
    <w:rsid w:val="2EA92D2A"/>
    <w:rsid w:val="2F3E6169"/>
    <w:rsid w:val="2F4200A9"/>
    <w:rsid w:val="2FAB7B24"/>
    <w:rsid w:val="2FEB0E2F"/>
    <w:rsid w:val="31303D3A"/>
    <w:rsid w:val="315A0677"/>
    <w:rsid w:val="31894326"/>
    <w:rsid w:val="328D6D53"/>
    <w:rsid w:val="338D02DB"/>
    <w:rsid w:val="3447419E"/>
    <w:rsid w:val="344D2773"/>
    <w:rsid w:val="34D76783"/>
    <w:rsid w:val="353F4A6D"/>
    <w:rsid w:val="35D76DBA"/>
    <w:rsid w:val="36950618"/>
    <w:rsid w:val="36D969F7"/>
    <w:rsid w:val="37296585"/>
    <w:rsid w:val="37D01877"/>
    <w:rsid w:val="387D1B40"/>
    <w:rsid w:val="38C05494"/>
    <w:rsid w:val="39064188"/>
    <w:rsid w:val="39616566"/>
    <w:rsid w:val="39EA6316"/>
    <w:rsid w:val="3A295714"/>
    <w:rsid w:val="3A874278"/>
    <w:rsid w:val="3AA95A9F"/>
    <w:rsid w:val="3B0C5D1D"/>
    <w:rsid w:val="3B2E639D"/>
    <w:rsid w:val="3B751A9B"/>
    <w:rsid w:val="3B7C0CE4"/>
    <w:rsid w:val="3B85389A"/>
    <w:rsid w:val="3BBB5785"/>
    <w:rsid w:val="3BD00077"/>
    <w:rsid w:val="3CA22C6D"/>
    <w:rsid w:val="3CB469A7"/>
    <w:rsid w:val="3E7D379B"/>
    <w:rsid w:val="3F633A15"/>
    <w:rsid w:val="3F773F29"/>
    <w:rsid w:val="3FEB6ADA"/>
    <w:rsid w:val="40651E55"/>
    <w:rsid w:val="407406DB"/>
    <w:rsid w:val="407D5AFE"/>
    <w:rsid w:val="40B85867"/>
    <w:rsid w:val="418A4979"/>
    <w:rsid w:val="42731A49"/>
    <w:rsid w:val="427331D0"/>
    <w:rsid w:val="42D25D7F"/>
    <w:rsid w:val="439E681F"/>
    <w:rsid w:val="445615AB"/>
    <w:rsid w:val="448F0FCD"/>
    <w:rsid w:val="44977834"/>
    <w:rsid w:val="45825E44"/>
    <w:rsid w:val="46DD3004"/>
    <w:rsid w:val="47DA5982"/>
    <w:rsid w:val="48FE0EA0"/>
    <w:rsid w:val="492D296C"/>
    <w:rsid w:val="497F70E3"/>
    <w:rsid w:val="49880263"/>
    <w:rsid w:val="498C2035"/>
    <w:rsid w:val="4A8A4526"/>
    <w:rsid w:val="4AE94219"/>
    <w:rsid w:val="4BC53661"/>
    <w:rsid w:val="4BF95AF1"/>
    <w:rsid w:val="4C4D3164"/>
    <w:rsid w:val="4C7547D5"/>
    <w:rsid w:val="4C823D12"/>
    <w:rsid w:val="4CA83B47"/>
    <w:rsid w:val="4CDD3B77"/>
    <w:rsid w:val="4CF62EC3"/>
    <w:rsid w:val="4E794727"/>
    <w:rsid w:val="4EB75DAF"/>
    <w:rsid w:val="4EE24AB3"/>
    <w:rsid w:val="4EF811DB"/>
    <w:rsid w:val="4FE54738"/>
    <w:rsid w:val="4FE90420"/>
    <w:rsid w:val="50C41801"/>
    <w:rsid w:val="51145E70"/>
    <w:rsid w:val="51277CC2"/>
    <w:rsid w:val="519A1BA5"/>
    <w:rsid w:val="51CC04EB"/>
    <w:rsid w:val="52177C3C"/>
    <w:rsid w:val="52195439"/>
    <w:rsid w:val="52DC7C3B"/>
    <w:rsid w:val="53216C6D"/>
    <w:rsid w:val="53356A84"/>
    <w:rsid w:val="5373750E"/>
    <w:rsid w:val="53F506AB"/>
    <w:rsid w:val="5679137E"/>
    <w:rsid w:val="56B16F90"/>
    <w:rsid w:val="58221BB4"/>
    <w:rsid w:val="585D1EDF"/>
    <w:rsid w:val="593F06E9"/>
    <w:rsid w:val="595364EE"/>
    <w:rsid w:val="599E0BCE"/>
    <w:rsid w:val="5A124A93"/>
    <w:rsid w:val="5A786C36"/>
    <w:rsid w:val="5AB46DAC"/>
    <w:rsid w:val="5ACD19B4"/>
    <w:rsid w:val="5B276CFF"/>
    <w:rsid w:val="5B2B2A5C"/>
    <w:rsid w:val="5B3D5296"/>
    <w:rsid w:val="5BE11490"/>
    <w:rsid w:val="5C2A48E5"/>
    <w:rsid w:val="5C5E6751"/>
    <w:rsid w:val="5D785F1C"/>
    <w:rsid w:val="5D8D1635"/>
    <w:rsid w:val="5DAD436A"/>
    <w:rsid w:val="5DD26C71"/>
    <w:rsid w:val="5E541A00"/>
    <w:rsid w:val="5EC9677C"/>
    <w:rsid w:val="5F74216E"/>
    <w:rsid w:val="5FA87A60"/>
    <w:rsid w:val="5FAF4A5B"/>
    <w:rsid w:val="61FA41B3"/>
    <w:rsid w:val="62581F12"/>
    <w:rsid w:val="62592DC8"/>
    <w:rsid w:val="62D85AE1"/>
    <w:rsid w:val="630A2701"/>
    <w:rsid w:val="639A0A3C"/>
    <w:rsid w:val="63E53C6D"/>
    <w:rsid w:val="63F016FA"/>
    <w:rsid w:val="649D7AFB"/>
    <w:rsid w:val="655A6F77"/>
    <w:rsid w:val="65981D5A"/>
    <w:rsid w:val="65B01884"/>
    <w:rsid w:val="66D86A44"/>
    <w:rsid w:val="672B25F9"/>
    <w:rsid w:val="67560E36"/>
    <w:rsid w:val="684452A9"/>
    <w:rsid w:val="688103B0"/>
    <w:rsid w:val="688776B6"/>
    <w:rsid w:val="68F42EEA"/>
    <w:rsid w:val="69224CB3"/>
    <w:rsid w:val="6A310E9F"/>
    <w:rsid w:val="6B19517D"/>
    <w:rsid w:val="6B274103"/>
    <w:rsid w:val="6B770F91"/>
    <w:rsid w:val="6C0E0B7E"/>
    <w:rsid w:val="6C481B79"/>
    <w:rsid w:val="6C4B13D1"/>
    <w:rsid w:val="6C8D6DD7"/>
    <w:rsid w:val="6CAA4E31"/>
    <w:rsid w:val="6D73404B"/>
    <w:rsid w:val="6DA93888"/>
    <w:rsid w:val="6DEA22F8"/>
    <w:rsid w:val="6DF72058"/>
    <w:rsid w:val="6ED96C7B"/>
    <w:rsid w:val="6EF94E1F"/>
    <w:rsid w:val="6F4D1259"/>
    <w:rsid w:val="6F9A1EC4"/>
    <w:rsid w:val="6FF12A18"/>
    <w:rsid w:val="701D076E"/>
    <w:rsid w:val="701F1D05"/>
    <w:rsid w:val="7050088A"/>
    <w:rsid w:val="707753E9"/>
    <w:rsid w:val="70DD45D4"/>
    <w:rsid w:val="71C2587E"/>
    <w:rsid w:val="71E372BB"/>
    <w:rsid w:val="72966774"/>
    <w:rsid w:val="729946DD"/>
    <w:rsid w:val="72C91007"/>
    <w:rsid w:val="73FA1278"/>
    <w:rsid w:val="73FE1521"/>
    <w:rsid w:val="741D4E3B"/>
    <w:rsid w:val="743A3925"/>
    <w:rsid w:val="746C501B"/>
    <w:rsid w:val="74D43BFF"/>
    <w:rsid w:val="757B7CE1"/>
    <w:rsid w:val="75802AD7"/>
    <w:rsid w:val="76534C90"/>
    <w:rsid w:val="76BF37ED"/>
    <w:rsid w:val="774968A7"/>
    <w:rsid w:val="77600663"/>
    <w:rsid w:val="77D21876"/>
    <w:rsid w:val="77E3682E"/>
    <w:rsid w:val="783B4ACC"/>
    <w:rsid w:val="784B3C7E"/>
    <w:rsid w:val="78E472AE"/>
    <w:rsid w:val="790F7F7A"/>
    <w:rsid w:val="794B4D38"/>
    <w:rsid w:val="7A495681"/>
    <w:rsid w:val="7B5402A7"/>
    <w:rsid w:val="7B7902E8"/>
    <w:rsid w:val="7C034873"/>
    <w:rsid w:val="7C8613AC"/>
    <w:rsid w:val="7CBE5259"/>
    <w:rsid w:val="7D0361ED"/>
    <w:rsid w:val="7D32526E"/>
    <w:rsid w:val="7D357824"/>
    <w:rsid w:val="7D841EF6"/>
    <w:rsid w:val="7DA336C2"/>
    <w:rsid w:val="7DEA5C34"/>
    <w:rsid w:val="7DFE04B4"/>
    <w:rsid w:val="7E3A3FA0"/>
    <w:rsid w:val="7EB37BD6"/>
    <w:rsid w:val="7EF307AC"/>
    <w:rsid w:val="7F6D4DC0"/>
  </w:rsids>
  <m:mathPr>
    <m:mathFont m:val="Cambria Math"/>
    <m:brkBin m:val="before"/>
    <m:brkBinSub m:val="--"/>
    <m:smallFrac m:val="1"/>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qFormat="1" w:unhideWhenUsed="0" w:uiPriority="99"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20" w:semiHidden="0" w:name="Emphasis" w:locked="1"/>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1"/>
    <w:qFormat/>
    <w:uiPriority w:val="9"/>
    <w:pPr>
      <w:keepNext/>
      <w:keepLines/>
      <w:tabs>
        <w:tab w:val="left" w:pos="360"/>
      </w:tabs>
      <w:adjustRightInd w:val="0"/>
      <w:spacing w:before="120" w:line="360" w:lineRule="auto"/>
      <w:ind w:left="284" w:hanging="284"/>
      <w:textAlignment w:val="baseline"/>
      <w:outlineLvl w:val="0"/>
    </w:pPr>
    <w:rPr>
      <w:b/>
      <w:bCs/>
      <w:kern w:val="44"/>
      <w:sz w:val="44"/>
      <w:szCs w:val="44"/>
    </w:rPr>
  </w:style>
  <w:style w:type="paragraph" w:styleId="4">
    <w:name w:val="heading 2"/>
    <w:basedOn w:val="1"/>
    <w:next w:val="1"/>
    <w:link w:val="47"/>
    <w:qFormat/>
    <w:uiPriority w:val="0"/>
    <w:pPr>
      <w:keepNext/>
      <w:tabs>
        <w:tab w:val="left" w:pos="360"/>
        <w:tab w:val="left" w:pos="1021"/>
      </w:tabs>
      <w:adjustRightInd w:val="0"/>
      <w:spacing w:before="120" w:line="360" w:lineRule="auto"/>
      <w:ind w:left="1021" w:hanging="596"/>
      <w:textAlignment w:val="baseline"/>
      <w:outlineLvl w:val="1"/>
    </w:pPr>
    <w:rPr>
      <w:rFonts w:eastAsia="黑体"/>
      <w:b/>
      <w:kern w:val="0"/>
      <w:sz w:val="28"/>
      <w:szCs w:val="20"/>
    </w:rPr>
  </w:style>
  <w:style w:type="paragraph" w:styleId="5">
    <w:name w:val="heading 3"/>
    <w:basedOn w:val="1"/>
    <w:next w:val="1"/>
    <w:link w:val="76"/>
    <w:qFormat/>
    <w:uiPriority w:val="9"/>
    <w:pPr>
      <w:tabs>
        <w:tab w:val="left" w:pos="360"/>
        <w:tab w:val="left" w:pos="900"/>
        <w:tab w:val="left" w:pos="1588"/>
      </w:tabs>
      <w:adjustRightInd w:val="0"/>
      <w:spacing w:before="120" w:line="360" w:lineRule="auto"/>
      <w:ind w:left="1588" w:hanging="737"/>
      <w:textAlignment w:val="baseline"/>
      <w:outlineLvl w:val="2"/>
    </w:pPr>
    <w:rPr>
      <w:b/>
      <w:bCs/>
      <w:kern w:val="0"/>
      <w:sz w:val="32"/>
      <w:szCs w:val="32"/>
    </w:rPr>
  </w:style>
  <w:style w:type="paragraph" w:styleId="6">
    <w:name w:val="heading 4"/>
    <w:basedOn w:val="1"/>
    <w:next w:val="1"/>
    <w:link w:val="55"/>
    <w:qFormat/>
    <w:uiPriority w:val="9"/>
    <w:pPr>
      <w:tabs>
        <w:tab w:val="left" w:pos="2155"/>
      </w:tabs>
      <w:adjustRightInd w:val="0"/>
      <w:spacing w:before="120" w:line="360" w:lineRule="auto"/>
      <w:ind w:left="2155" w:hanging="1078"/>
      <w:textAlignment w:val="baseline"/>
      <w:outlineLvl w:val="3"/>
    </w:pPr>
    <w:rPr>
      <w:rFonts w:ascii="Cambria" w:hAnsi="Cambria"/>
      <w:b/>
      <w:bCs/>
      <w:kern w:val="0"/>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2">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styleId="7">
    <w:name w:val="toc 7"/>
    <w:basedOn w:val="1"/>
    <w:next w:val="1"/>
    <w:qFormat/>
    <w:uiPriority w:val="99"/>
    <w:pPr>
      <w:ind w:left="1260"/>
      <w:jc w:val="left"/>
    </w:pPr>
    <w:rPr>
      <w:sz w:val="18"/>
      <w:szCs w:val="18"/>
    </w:rPr>
  </w:style>
  <w:style w:type="paragraph" w:styleId="8">
    <w:name w:val="Normal Indent"/>
    <w:basedOn w:val="1"/>
    <w:link w:val="46"/>
    <w:qFormat/>
    <w:uiPriority w:val="99"/>
    <w:pPr>
      <w:ind w:firstLine="420"/>
    </w:pPr>
    <w:rPr>
      <w:szCs w:val="20"/>
    </w:rPr>
  </w:style>
  <w:style w:type="paragraph" w:styleId="9">
    <w:name w:val="Document Map"/>
    <w:basedOn w:val="1"/>
    <w:link w:val="74"/>
    <w:qFormat/>
    <w:uiPriority w:val="99"/>
    <w:pPr>
      <w:shd w:val="clear" w:color="auto" w:fill="000080"/>
    </w:pPr>
    <w:rPr>
      <w:kern w:val="0"/>
      <w:sz w:val="2"/>
      <w:szCs w:val="20"/>
    </w:rPr>
  </w:style>
  <w:style w:type="paragraph" w:styleId="10">
    <w:name w:val="toa heading"/>
    <w:basedOn w:val="1"/>
    <w:next w:val="1"/>
    <w:qFormat/>
    <w:uiPriority w:val="0"/>
    <w:pPr>
      <w:spacing w:before="120"/>
    </w:pPr>
    <w:rPr>
      <w:rFonts w:ascii="Cambria" w:hAnsi="Cambria"/>
    </w:rPr>
  </w:style>
  <w:style w:type="paragraph" w:styleId="11">
    <w:name w:val="annotation text"/>
    <w:basedOn w:val="1"/>
    <w:link w:val="82"/>
    <w:semiHidden/>
    <w:qFormat/>
    <w:uiPriority w:val="99"/>
    <w:pPr>
      <w:jc w:val="left"/>
    </w:pPr>
    <w:rPr>
      <w:kern w:val="0"/>
      <w:sz w:val="24"/>
    </w:rPr>
  </w:style>
  <w:style w:type="paragraph" w:styleId="12">
    <w:name w:val="Body Text 3"/>
    <w:basedOn w:val="1"/>
    <w:link w:val="71"/>
    <w:qFormat/>
    <w:uiPriority w:val="99"/>
    <w:rPr>
      <w:kern w:val="0"/>
      <w:sz w:val="16"/>
      <w:szCs w:val="16"/>
    </w:rPr>
  </w:style>
  <w:style w:type="paragraph" w:styleId="13">
    <w:name w:val="Body Text"/>
    <w:basedOn w:val="1"/>
    <w:link w:val="57"/>
    <w:qFormat/>
    <w:uiPriority w:val="99"/>
    <w:rPr>
      <w:kern w:val="0"/>
      <w:sz w:val="24"/>
    </w:rPr>
  </w:style>
  <w:style w:type="paragraph" w:styleId="14">
    <w:name w:val="Body Text Indent"/>
    <w:basedOn w:val="1"/>
    <w:link w:val="69"/>
    <w:qFormat/>
    <w:uiPriority w:val="99"/>
    <w:pPr>
      <w:spacing w:line="200" w:lineRule="exact"/>
      <w:ind w:firstLine="301"/>
    </w:pPr>
    <w:rPr>
      <w:kern w:val="0"/>
      <w:sz w:val="24"/>
    </w:rPr>
  </w:style>
  <w:style w:type="paragraph" w:styleId="15">
    <w:name w:val="toc 5"/>
    <w:basedOn w:val="1"/>
    <w:next w:val="1"/>
    <w:qFormat/>
    <w:uiPriority w:val="99"/>
    <w:pPr>
      <w:ind w:left="840"/>
      <w:jc w:val="left"/>
    </w:pPr>
    <w:rPr>
      <w:sz w:val="18"/>
      <w:szCs w:val="18"/>
    </w:rPr>
  </w:style>
  <w:style w:type="paragraph" w:styleId="16">
    <w:name w:val="toc 3"/>
    <w:basedOn w:val="1"/>
    <w:next w:val="1"/>
    <w:qFormat/>
    <w:uiPriority w:val="39"/>
    <w:pPr>
      <w:ind w:left="300" w:leftChars="300"/>
      <w:jc w:val="left"/>
    </w:pPr>
    <w:rPr>
      <w:iCs/>
      <w:szCs w:val="20"/>
    </w:rPr>
  </w:style>
  <w:style w:type="paragraph" w:styleId="17">
    <w:name w:val="Plain Text"/>
    <w:basedOn w:val="1"/>
    <w:link w:val="53"/>
    <w:qFormat/>
    <w:uiPriority w:val="0"/>
    <w:rPr>
      <w:rFonts w:ascii="宋体"/>
      <w:szCs w:val="20"/>
    </w:rPr>
  </w:style>
  <w:style w:type="paragraph" w:styleId="18">
    <w:name w:val="toc 8"/>
    <w:basedOn w:val="1"/>
    <w:next w:val="1"/>
    <w:qFormat/>
    <w:uiPriority w:val="99"/>
    <w:pPr>
      <w:ind w:left="1470"/>
      <w:jc w:val="left"/>
    </w:pPr>
    <w:rPr>
      <w:sz w:val="18"/>
      <w:szCs w:val="18"/>
    </w:rPr>
  </w:style>
  <w:style w:type="paragraph" w:styleId="19">
    <w:name w:val="Date"/>
    <w:basedOn w:val="1"/>
    <w:next w:val="1"/>
    <w:link w:val="58"/>
    <w:qFormat/>
    <w:uiPriority w:val="99"/>
    <w:pPr>
      <w:ind w:left="100" w:leftChars="2500"/>
    </w:pPr>
    <w:rPr>
      <w:kern w:val="0"/>
      <w:sz w:val="24"/>
    </w:rPr>
  </w:style>
  <w:style w:type="paragraph" w:styleId="20">
    <w:name w:val="Body Text Indent 2"/>
    <w:basedOn w:val="1"/>
    <w:link w:val="51"/>
    <w:qFormat/>
    <w:uiPriority w:val="99"/>
    <w:pPr>
      <w:spacing w:after="120" w:line="480" w:lineRule="auto"/>
      <w:ind w:left="200" w:leftChars="200"/>
    </w:pPr>
    <w:rPr>
      <w:kern w:val="0"/>
      <w:sz w:val="24"/>
    </w:rPr>
  </w:style>
  <w:style w:type="paragraph" w:styleId="21">
    <w:name w:val="Balloon Text"/>
    <w:basedOn w:val="1"/>
    <w:link w:val="80"/>
    <w:qFormat/>
    <w:uiPriority w:val="99"/>
    <w:rPr>
      <w:sz w:val="18"/>
      <w:szCs w:val="20"/>
    </w:rPr>
  </w:style>
  <w:style w:type="paragraph" w:styleId="22">
    <w:name w:val="footer"/>
    <w:basedOn w:val="1"/>
    <w:link w:val="60"/>
    <w:qFormat/>
    <w:uiPriority w:val="99"/>
    <w:pPr>
      <w:tabs>
        <w:tab w:val="center" w:pos="4153"/>
        <w:tab w:val="right" w:pos="8306"/>
      </w:tabs>
      <w:snapToGrid w:val="0"/>
      <w:jc w:val="left"/>
    </w:pPr>
    <w:rPr>
      <w:sz w:val="18"/>
      <w:szCs w:val="18"/>
    </w:rPr>
  </w:style>
  <w:style w:type="paragraph" w:styleId="23">
    <w:name w:val="header"/>
    <w:basedOn w:val="1"/>
    <w:link w:val="63"/>
    <w:qFormat/>
    <w:uiPriority w:val="99"/>
    <w:pPr>
      <w:pBdr>
        <w:bottom w:val="single" w:color="auto" w:sz="6" w:space="1"/>
      </w:pBdr>
      <w:tabs>
        <w:tab w:val="center" w:pos="4153"/>
        <w:tab w:val="right" w:pos="8306"/>
      </w:tabs>
      <w:snapToGrid w:val="0"/>
      <w:jc w:val="center"/>
    </w:pPr>
    <w:rPr>
      <w:sz w:val="18"/>
      <w:szCs w:val="20"/>
    </w:rPr>
  </w:style>
  <w:style w:type="paragraph" w:styleId="24">
    <w:name w:val="toc 1"/>
    <w:basedOn w:val="1"/>
    <w:next w:val="1"/>
    <w:qFormat/>
    <w:uiPriority w:val="39"/>
    <w:pPr>
      <w:adjustRightInd w:val="0"/>
      <w:spacing w:before="120" w:after="120"/>
      <w:ind w:firstLine="50" w:firstLineChars="50"/>
      <w:jc w:val="left"/>
      <w:outlineLvl w:val="0"/>
    </w:pPr>
    <w:rPr>
      <w:bCs/>
      <w:caps/>
      <w:szCs w:val="20"/>
    </w:rPr>
  </w:style>
  <w:style w:type="paragraph" w:styleId="25">
    <w:name w:val="toc 4"/>
    <w:basedOn w:val="1"/>
    <w:next w:val="1"/>
    <w:qFormat/>
    <w:uiPriority w:val="99"/>
    <w:pPr>
      <w:ind w:left="630"/>
      <w:jc w:val="left"/>
    </w:pPr>
    <w:rPr>
      <w:sz w:val="18"/>
      <w:szCs w:val="18"/>
    </w:rPr>
  </w:style>
  <w:style w:type="paragraph" w:styleId="26">
    <w:name w:val="Subtitle"/>
    <w:basedOn w:val="1"/>
    <w:next w:val="1"/>
    <w:link w:val="65"/>
    <w:qFormat/>
    <w:uiPriority w:val="99"/>
    <w:pPr>
      <w:spacing w:before="240" w:after="60" w:line="360" w:lineRule="auto"/>
      <w:jc w:val="left"/>
      <w:outlineLvl w:val="1"/>
    </w:pPr>
    <w:rPr>
      <w:rFonts w:ascii="Cambria" w:hAnsi="Cambria"/>
      <w:b/>
      <w:kern w:val="28"/>
      <w:sz w:val="32"/>
      <w:szCs w:val="32"/>
    </w:rPr>
  </w:style>
  <w:style w:type="paragraph" w:styleId="27">
    <w:name w:val="toc 6"/>
    <w:basedOn w:val="1"/>
    <w:next w:val="1"/>
    <w:qFormat/>
    <w:uiPriority w:val="99"/>
    <w:pPr>
      <w:ind w:left="1050"/>
      <w:jc w:val="left"/>
    </w:pPr>
    <w:rPr>
      <w:sz w:val="18"/>
      <w:szCs w:val="18"/>
    </w:rPr>
  </w:style>
  <w:style w:type="paragraph" w:styleId="28">
    <w:name w:val="Body Text Indent 3"/>
    <w:basedOn w:val="1"/>
    <w:link w:val="72"/>
    <w:qFormat/>
    <w:uiPriority w:val="99"/>
    <w:pPr>
      <w:spacing w:line="400" w:lineRule="exact"/>
      <w:ind w:left="360"/>
    </w:pPr>
    <w:rPr>
      <w:kern w:val="0"/>
      <w:sz w:val="16"/>
      <w:szCs w:val="16"/>
    </w:rPr>
  </w:style>
  <w:style w:type="paragraph" w:styleId="29">
    <w:name w:val="toc 2"/>
    <w:basedOn w:val="1"/>
    <w:next w:val="1"/>
    <w:qFormat/>
    <w:uiPriority w:val="39"/>
    <w:pPr>
      <w:tabs>
        <w:tab w:val="right" w:leader="dot" w:pos="9344"/>
      </w:tabs>
      <w:ind w:left="200" w:leftChars="200"/>
      <w:jc w:val="left"/>
    </w:pPr>
    <w:rPr>
      <w:smallCaps/>
      <w:szCs w:val="20"/>
    </w:rPr>
  </w:style>
  <w:style w:type="paragraph" w:styleId="30">
    <w:name w:val="toc 9"/>
    <w:basedOn w:val="1"/>
    <w:next w:val="1"/>
    <w:qFormat/>
    <w:uiPriority w:val="99"/>
    <w:pPr>
      <w:ind w:left="1680"/>
      <w:jc w:val="left"/>
    </w:pPr>
    <w:rPr>
      <w:sz w:val="18"/>
      <w:szCs w:val="18"/>
    </w:rPr>
  </w:style>
  <w:style w:type="paragraph" w:styleId="31">
    <w:name w:val="Body Text 2"/>
    <w:basedOn w:val="1"/>
    <w:link w:val="67"/>
    <w:qFormat/>
    <w:uiPriority w:val="99"/>
    <w:rPr>
      <w:kern w:val="0"/>
      <w:sz w:val="24"/>
    </w:rPr>
  </w:style>
  <w:style w:type="paragraph" w:styleId="3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3">
    <w:name w:val="index 1"/>
    <w:basedOn w:val="1"/>
    <w:next w:val="1"/>
    <w:semiHidden/>
    <w:qFormat/>
    <w:uiPriority w:val="99"/>
  </w:style>
  <w:style w:type="paragraph" w:styleId="34">
    <w:name w:val="annotation subject"/>
    <w:basedOn w:val="11"/>
    <w:next w:val="11"/>
    <w:link w:val="78"/>
    <w:semiHidden/>
    <w:qFormat/>
    <w:uiPriority w:val="99"/>
    <w:rPr>
      <w:b/>
      <w:bCs/>
    </w:rPr>
  </w:style>
  <w:style w:type="paragraph" w:styleId="35">
    <w:name w:val="Body Text First Indent"/>
    <w:basedOn w:val="1"/>
    <w:link w:val="56"/>
    <w:qFormat/>
    <w:uiPriority w:val="99"/>
    <w:pPr>
      <w:spacing w:after="120"/>
      <w:ind w:firstLine="420" w:firstLineChars="100"/>
    </w:pPr>
    <w:rPr>
      <w:kern w:val="0"/>
      <w:sz w:val="24"/>
    </w:rPr>
  </w:style>
  <w:style w:type="paragraph" w:styleId="36">
    <w:name w:val="Body Text First Indent 2"/>
    <w:basedOn w:val="14"/>
    <w:link w:val="49"/>
    <w:unhideWhenUsed/>
    <w:qFormat/>
    <w:uiPriority w:val="99"/>
    <w:pPr>
      <w:ind w:firstLine="420" w:firstLineChars="200"/>
    </w:pPr>
  </w:style>
  <w:style w:type="table" w:styleId="38">
    <w:name w:val="Table Grid"/>
    <w:basedOn w:val="3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locked/>
    <w:uiPriority w:val="0"/>
    <w:rPr>
      <w:b/>
      <w:bCs/>
    </w:rPr>
  </w:style>
  <w:style w:type="character" w:styleId="41">
    <w:name w:val="page number"/>
    <w:qFormat/>
    <w:uiPriority w:val="99"/>
    <w:rPr>
      <w:rFonts w:ascii="仿宋_GB2312" w:eastAsia="仿宋_GB2312" w:cs="仿宋_GB2312"/>
      <w:b/>
      <w:kern w:val="2"/>
      <w:sz w:val="32"/>
      <w:szCs w:val="32"/>
    </w:rPr>
  </w:style>
  <w:style w:type="character" w:styleId="42">
    <w:name w:val="FollowedHyperlink"/>
    <w:qFormat/>
    <w:uiPriority w:val="99"/>
    <w:rPr>
      <w:rFonts w:cs="Times New Roman"/>
      <w:color w:val="555555"/>
      <w:u w:val="none"/>
    </w:rPr>
  </w:style>
  <w:style w:type="character" w:styleId="43">
    <w:name w:val="Hyperlink"/>
    <w:qFormat/>
    <w:uiPriority w:val="99"/>
    <w:rPr>
      <w:rFonts w:cs="Times New Roman"/>
      <w:color w:val="555555"/>
      <w:u w:val="none"/>
    </w:rPr>
  </w:style>
  <w:style w:type="character" w:styleId="44">
    <w:name w:val="annotation reference"/>
    <w:semiHidden/>
    <w:qFormat/>
    <w:uiPriority w:val="99"/>
    <w:rPr>
      <w:rFonts w:cs="Times New Roman"/>
      <w:sz w:val="21"/>
    </w:rPr>
  </w:style>
  <w:style w:type="paragraph" w:customStyle="1" w:styleId="4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6">
    <w:name w:val="正文缩进 Char"/>
    <w:link w:val="8"/>
    <w:qFormat/>
    <w:locked/>
    <w:uiPriority w:val="99"/>
    <w:rPr>
      <w:rFonts w:eastAsia="宋体"/>
      <w:kern w:val="2"/>
      <w:sz w:val="21"/>
      <w:lang w:val="en-US" w:eastAsia="zh-CN"/>
    </w:rPr>
  </w:style>
  <w:style w:type="character" w:customStyle="1" w:styleId="47">
    <w:name w:val="标题 2 Char"/>
    <w:link w:val="4"/>
    <w:qFormat/>
    <w:locked/>
    <w:uiPriority w:val="99"/>
    <w:rPr>
      <w:rFonts w:eastAsia="黑体"/>
      <w:b/>
      <w:sz w:val="28"/>
    </w:rPr>
  </w:style>
  <w:style w:type="character" w:customStyle="1" w:styleId="48">
    <w:name w:val="font31"/>
    <w:qFormat/>
    <w:uiPriority w:val="99"/>
    <w:rPr>
      <w:rFonts w:ascii="宋体" w:hAnsi="宋体" w:eastAsia="宋体" w:cs="宋体"/>
      <w:color w:val="000000"/>
      <w:sz w:val="20"/>
      <w:szCs w:val="20"/>
      <w:u w:val="none"/>
    </w:rPr>
  </w:style>
  <w:style w:type="character" w:customStyle="1" w:styleId="49">
    <w:name w:val="正文首行缩进 2 Char"/>
    <w:link w:val="36"/>
    <w:qFormat/>
    <w:uiPriority w:val="99"/>
    <w:rPr>
      <w:sz w:val="24"/>
      <w:szCs w:val="24"/>
    </w:rPr>
  </w:style>
  <w:style w:type="character" w:customStyle="1" w:styleId="50">
    <w:name w:val="grame"/>
    <w:qFormat/>
    <w:uiPriority w:val="99"/>
    <w:rPr>
      <w:rFonts w:cs="Times New Roman"/>
    </w:rPr>
  </w:style>
  <w:style w:type="character" w:customStyle="1" w:styleId="51">
    <w:name w:val="正文文本缩进 2 Char"/>
    <w:link w:val="20"/>
    <w:semiHidden/>
    <w:qFormat/>
    <w:locked/>
    <w:uiPriority w:val="99"/>
    <w:rPr>
      <w:rFonts w:ascii="Times New Roman" w:hAnsi="Times New Roman" w:cs="Times New Roman"/>
      <w:sz w:val="24"/>
      <w:szCs w:val="24"/>
    </w:rPr>
  </w:style>
  <w:style w:type="character" w:customStyle="1" w:styleId="52">
    <w:name w:val="@他"/>
    <w:qFormat/>
    <w:uiPriority w:val="99"/>
    <w:rPr>
      <w:color w:val="2B579A"/>
      <w:shd w:val="clear" w:color="auto" w:fill="E6E6E6"/>
    </w:rPr>
  </w:style>
  <w:style w:type="character" w:customStyle="1" w:styleId="53">
    <w:name w:val="纯文本 Char1"/>
    <w:link w:val="17"/>
    <w:qFormat/>
    <w:locked/>
    <w:uiPriority w:val="0"/>
    <w:rPr>
      <w:rFonts w:ascii="宋体" w:eastAsia="宋体" w:cs="Times New Roman"/>
      <w:kern w:val="2"/>
      <w:sz w:val="21"/>
      <w:lang w:val="en-US" w:eastAsia="zh-CN"/>
    </w:rPr>
  </w:style>
  <w:style w:type="character" w:customStyle="1" w:styleId="54">
    <w:name w:val="font81"/>
    <w:qFormat/>
    <w:uiPriority w:val="0"/>
    <w:rPr>
      <w:rFonts w:hint="eastAsia" w:ascii="宋体" w:hAnsi="宋体" w:eastAsia="宋体" w:cs="宋体"/>
      <w:b/>
      <w:color w:val="000000"/>
      <w:sz w:val="22"/>
      <w:szCs w:val="22"/>
      <w:u w:val="none"/>
    </w:rPr>
  </w:style>
  <w:style w:type="character" w:customStyle="1" w:styleId="55">
    <w:name w:val="标题 4 Char"/>
    <w:link w:val="6"/>
    <w:qFormat/>
    <w:locked/>
    <w:uiPriority w:val="9"/>
    <w:rPr>
      <w:rFonts w:ascii="Cambria" w:hAnsi="Cambria"/>
      <w:b/>
      <w:bCs/>
      <w:sz w:val="28"/>
      <w:szCs w:val="28"/>
    </w:rPr>
  </w:style>
  <w:style w:type="character" w:customStyle="1" w:styleId="56">
    <w:name w:val="正文首行缩进 Char"/>
    <w:link w:val="35"/>
    <w:semiHidden/>
    <w:qFormat/>
    <w:locked/>
    <w:uiPriority w:val="99"/>
    <w:rPr>
      <w:rFonts w:ascii="Times New Roman" w:hAnsi="Times New Roman" w:cs="Times New Roman"/>
      <w:sz w:val="24"/>
      <w:szCs w:val="24"/>
    </w:rPr>
  </w:style>
  <w:style w:type="character" w:customStyle="1" w:styleId="57">
    <w:name w:val="正文文本 Char"/>
    <w:link w:val="13"/>
    <w:semiHidden/>
    <w:qFormat/>
    <w:locked/>
    <w:uiPriority w:val="99"/>
    <w:rPr>
      <w:rFonts w:ascii="Times New Roman" w:hAnsi="Times New Roman" w:cs="Times New Roman"/>
      <w:sz w:val="24"/>
      <w:szCs w:val="24"/>
    </w:rPr>
  </w:style>
  <w:style w:type="character" w:customStyle="1" w:styleId="58">
    <w:name w:val="日期 Char"/>
    <w:link w:val="19"/>
    <w:semiHidden/>
    <w:qFormat/>
    <w:locked/>
    <w:uiPriority w:val="99"/>
    <w:rPr>
      <w:rFonts w:ascii="Times New Roman" w:hAnsi="Times New Roman" w:cs="Times New Roman"/>
      <w:sz w:val="24"/>
      <w:szCs w:val="24"/>
    </w:rPr>
  </w:style>
  <w:style w:type="character" w:customStyle="1" w:styleId="59">
    <w:name w:val="font101"/>
    <w:qFormat/>
    <w:uiPriority w:val="0"/>
    <w:rPr>
      <w:rFonts w:hint="eastAsia" w:ascii="宋体" w:hAnsi="宋体" w:eastAsia="宋体" w:cs="宋体"/>
      <w:color w:val="000000"/>
      <w:sz w:val="22"/>
      <w:szCs w:val="22"/>
      <w:u w:val="none"/>
    </w:rPr>
  </w:style>
  <w:style w:type="character" w:customStyle="1" w:styleId="60">
    <w:name w:val="页脚 Char"/>
    <w:link w:val="22"/>
    <w:qFormat/>
    <w:locked/>
    <w:uiPriority w:val="99"/>
    <w:rPr>
      <w:rFonts w:cs="Times New Roman"/>
      <w:kern w:val="2"/>
      <w:sz w:val="18"/>
      <w:szCs w:val="18"/>
    </w:rPr>
  </w:style>
  <w:style w:type="character" w:customStyle="1" w:styleId="61">
    <w:name w:val="纯文本 Char"/>
    <w:qFormat/>
    <w:uiPriority w:val="0"/>
    <w:rPr>
      <w:rFonts w:ascii="宋体" w:eastAsia="宋体"/>
      <w:kern w:val="2"/>
      <w:sz w:val="21"/>
      <w:lang w:val="en-US" w:eastAsia="zh-CN"/>
    </w:rPr>
  </w:style>
  <w:style w:type="character" w:customStyle="1" w:styleId="62">
    <w:name w:val="font21"/>
    <w:qFormat/>
    <w:uiPriority w:val="99"/>
    <w:rPr>
      <w:rFonts w:ascii="Times New Roman" w:hAnsi="Times New Roman" w:cs="Times New Roman"/>
      <w:color w:val="000000"/>
      <w:sz w:val="16"/>
      <w:szCs w:val="16"/>
      <w:u w:val="none"/>
    </w:rPr>
  </w:style>
  <w:style w:type="character" w:customStyle="1" w:styleId="63">
    <w:name w:val="页眉 Char"/>
    <w:link w:val="23"/>
    <w:qFormat/>
    <w:locked/>
    <w:uiPriority w:val="99"/>
    <w:rPr>
      <w:rFonts w:cs="Times New Roman"/>
      <w:kern w:val="2"/>
      <w:sz w:val="18"/>
    </w:rPr>
  </w:style>
  <w:style w:type="character" w:customStyle="1" w:styleId="64">
    <w:name w:val="普通文字1 Char2"/>
    <w:qFormat/>
    <w:uiPriority w:val="99"/>
    <w:rPr>
      <w:rFonts w:ascii="宋体" w:eastAsia="宋体"/>
      <w:kern w:val="2"/>
      <w:sz w:val="21"/>
      <w:lang w:val="en-US" w:eastAsia="zh-CN"/>
    </w:rPr>
  </w:style>
  <w:style w:type="character" w:customStyle="1" w:styleId="65">
    <w:name w:val="副标题 Char1"/>
    <w:link w:val="26"/>
    <w:qFormat/>
    <w:locked/>
    <w:uiPriority w:val="99"/>
    <w:rPr>
      <w:rFonts w:ascii="Cambria" w:hAnsi="Cambria" w:cs="Times New Roman"/>
      <w:b/>
      <w:kern w:val="28"/>
      <w:sz w:val="32"/>
      <w:szCs w:val="32"/>
    </w:rPr>
  </w:style>
  <w:style w:type="character" w:customStyle="1" w:styleId="66">
    <w:name w:val="标题 2 字符"/>
    <w:qFormat/>
    <w:uiPriority w:val="0"/>
    <w:rPr>
      <w:rFonts w:eastAsia="黑体"/>
      <w:b/>
      <w:sz w:val="28"/>
    </w:rPr>
  </w:style>
  <w:style w:type="character" w:customStyle="1" w:styleId="67">
    <w:name w:val="正文文本 2 Char"/>
    <w:link w:val="31"/>
    <w:semiHidden/>
    <w:qFormat/>
    <w:locked/>
    <w:uiPriority w:val="99"/>
    <w:rPr>
      <w:rFonts w:ascii="Times New Roman" w:hAnsi="Times New Roman" w:cs="Times New Roman"/>
      <w:sz w:val="24"/>
      <w:szCs w:val="24"/>
    </w:rPr>
  </w:style>
  <w:style w:type="character" w:customStyle="1" w:styleId="68">
    <w:name w:val="标题 3 Char"/>
    <w:qFormat/>
    <w:uiPriority w:val="99"/>
    <w:rPr>
      <w:rFonts w:ascii="Arial" w:hAnsi="Arial" w:eastAsia="黑体"/>
      <w:b/>
      <w:sz w:val="28"/>
      <w:lang w:val="en-US" w:eastAsia="zh-CN"/>
    </w:rPr>
  </w:style>
  <w:style w:type="character" w:customStyle="1" w:styleId="69">
    <w:name w:val="正文文本缩进 Char"/>
    <w:link w:val="14"/>
    <w:semiHidden/>
    <w:qFormat/>
    <w:locked/>
    <w:uiPriority w:val="99"/>
    <w:rPr>
      <w:rFonts w:ascii="Times New Roman" w:hAnsi="Times New Roman" w:cs="Times New Roman"/>
      <w:sz w:val="24"/>
      <w:szCs w:val="24"/>
    </w:rPr>
  </w:style>
  <w:style w:type="character" w:customStyle="1" w:styleId="70">
    <w:name w:val="16"/>
    <w:qFormat/>
    <w:uiPriority w:val="99"/>
    <w:rPr>
      <w:rFonts w:ascii="Calibri" w:hAnsi="Calibri" w:cs="Times New Roman"/>
      <w:color w:val="555555"/>
    </w:rPr>
  </w:style>
  <w:style w:type="character" w:customStyle="1" w:styleId="71">
    <w:name w:val="正文文本 3 Char"/>
    <w:link w:val="12"/>
    <w:semiHidden/>
    <w:qFormat/>
    <w:locked/>
    <w:uiPriority w:val="99"/>
    <w:rPr>
      <w:rFonts w:ascii="Times New Roman" w:hAnsi="Times New Roman" w:cs="Times New Roman"/>
      <w:sz w:val="16"/>
      <w:szCs w:val="16"/>
    </w:rPr>
  </w:style>
  <w:style w:type="character" w:customStyle="1" w:styleId="72">
    <w:name w:val="正文文本缩进 3 Char"/>
    <w:link w:val="28"/>
    <w:semiHidden/>
    <w:qFormat/>
    <w:locked/>
    <w:uiPriority w:val="99"/>
    <w:rPr>
      <w:rFonts w:ascii="Times New Roman" w:hAnsi="Times New Roman" w:cs="Times New Roman"/>
      <w:sz w:val="16"/>
      <w:szCs w:val="16"/>
    </w:rPr>
  </w:style>
  <w:style w:type="character" w:customStyle="1" w:styleId="73">
    <w:name w:val="font71"/>
    <w:qFormat/>
    <w:uiPriority w:val="99"/>
    <w:rPr>
      <w:rFonts w:ascii="宋体" w:hAnsi="宋体" w:eastAsia="宋体" w:cs="宋体"/>
      <w:color w:val="000000"/>
      <w:sz w:val="16"/>
      <w:szCs w:val="16"/>
      <w:u w:val="none"/>
    </w:rPr>
  </w:style>
  <w:style w:type="character" w:customStyle="1" w:styleId="74">
    <w:name w:val="文档结构图 Char"/>
    <w:link w:val="9"/>
    <w:semiHidden/>
    <w:qFormat/>
    <w:locked/>
    <w:uiPriority w:val="99"/>
    <w:rPr>
      <w:rFonts w:ascii="Times New Roman" w:hAnsi="Times New Roman" w:cs="Times New Roman"/>
      <w:sz w:val="2"/>
    </w:rPr>
  </w:style>
  <w:style w:type="character" w:customStyle="1" w:styleId="75">
    <w:name w:val="font51"/>
    <w:qFormat/>
    <w:uiPriority w:val="99"/>
    <w:rPr>
      <w:rFonts w:ascii="宋体" w:hAnsi="宋体" w:eastAsia="宋体" w:cs="宋体"/>
      <w:color w:val="000000"/>
      <w:sz w:val="16"/>
      <w:szCs w:val="16"/>
      <w:u w:val="none"/>
    </w:rPr>
  </w:style>
  <w:style w:type="character" w:customStyle="1" w:styleId="76">
    <w:name w:val="标题 3 Char1"/>
    <w:link w:val="5"/>
    <w:qFormat/>
    <w:locked/>
    <w:uiPriority w:val="9"/>
    <w:rPr>
      <w:b/>
      <w:bCs/>
      <w:sz w:val="32"/>
      <w:szCs w:val="32"/>
    </w:rPr>
  </w:style>
  <w:style w:type="character" w:customStyle="1" w:styleId="77">
    <w:name w:val="font41"/>
    <w:qFormat/>
    <w:uiPriority w:val="99"/>
    <w:rPr>
      <w:rFonts w:ascii="font-weight : 400" w:hAnsi="font-weight : 400" w:cs="font-weight : 400"/>
      <w:color w:val="000000"/>
      <w:sz w:val="16"/>
      <w:szCs w:val="16"/>
      <w:u w:val="none"/>
    </w:rPr>
  </w:style>
  <w:style w:type="character" w:customStyle="1" w:styleId="78">
    <w:name w:val="批注主题 Char"/>
    <w:link w:val="34"/>
    <w:semiHidden/>
    <w:qFormat/>
    <w:locked/>
    <w:uiPriority w:val="99"/>
    <w:rPr>
      <w:rFonts w:ascii="Times New Roman" w:hAnsi="Times New Roman" w:cs="Times New Roman"/>
      <w:b/>
      <w:bCs/>
      <w:sz w:val="24"/>
      <w:szCs w:val="24"/>
    </w:rPr>
  </w:style>
  <w:style w:type="character" w:customStyle="1" w:styleId="79">
    <w:name w:val="副标题 Char"/>
    <w:qFormat/>
    <w:locked/>
    <w:uiPriority w:val="99"/>
    <w:rPr>
      <w:rFonts w:ascii="Cambria" w:hAnsi="Cambria" w:eastAsia="黑体" w:cs="Cambria"/>
      <w:b/>
      <w:kern w:val="28"/>
      <w:sz w:val="32"/>
      <w:szCs w:val="32"/>
    </w:rPr>
  </w:style>
  <w:style w:type="character" w:customStyle="1" w:styleId="80">
    <w:name w:val="批注框文本 Char"/>
    <w:link w:val="21"/>
    <w:qFormat/>
    <w:locked/>
    <w:uiPriority w:val="99"/>
    <w:rPr>
      <w:rFonts w:cs="Times New Roman"/>
      <w:kern w:val="2"/>
      <w:sz w:val="18"/>
    </w:rPr>
  </w:style>
  <w:style w:type="character" w:customStyle="1" w:styleId="81">
    <w:name w:val="标题 1 字符"/>
    <w:link w:val="3"/>
    <w:qFormat/>
    <w:locked/>
    <w:uiPriority w:val="9"/>
    <w:rPr>
      <w:b/>
      <w:bCs/>
      <w:kern w:val="44"/>
      <w:sz w:val="44"/>
      <w:szCs w:val="44"/>
    </w:rPr>
  </w:style>
  <w:style w:type="character" w:customStyle="1" w:styleId="82">
    <w:name w:val="批注文字 Char"/>
    <w:link w:val="11"/>
    <w:semiHidden/>
    <w:qFormat/>
    <w:locked/>
    <w:uiPriority w:val="99"/>
    <w:rPr>
      <w:rFonts w:ascii="Times New Roman" w:hAnsi="Times New Roman" w:cs="Times New Roman"/>
      <w:sz w:val="24"/>
      <w:szCs w:val="24"/>
    </w:rPr>
  </w:style>
  <w:style w:type="character" w:customStyle="1" w:styleId="83">
    <w:name w:val="正文缩进 字符"/>
    <w:qFormat/>
    <w:uiPriority w:val="99"/>
    <w:rPr>
      <w:rFonts w:eastAsia="宋体"/>
      <w:kern w:val="2"/>
      <w:sz w:val="21"/>
      <w:lang w:val="en-US" w:eastAsia="zh-CN"/>
    </w:rPr>
  </w:style>
  <w:style w:type="paragraph" w:customStyle="1" w:styleId="84">
    <w:name w:val="xl70"/>
    <w:basedOn w:val="1"/>
    <w:qFormat/>
    <w:uiPriority w:val="0"/>
    <w:pPr>
      <w:widowControl/>
      <w:spacing w:before="100" w:beforeAutospacing="1" w:after="100" w:afterAutospacing="1"/>
      <w:jc w:val="left"/>
    </w:pPr>
    <w:rPr>
      <w:rFonts w:ascii="宋体" w:hAnsi="宋体" w:cs="宋体"/>
      <w:b/>
      <w:bCs/>
      <w:color w:val="FF0000"/>
      <w:kern w:val="0"/>
      <w:sz w:val="24"/>
    </w:rPr>
  </w:style>
  <w:style w:type="paragraph" w:customStyle="1" w:styleId="8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6">
    <w:name w:val="项目书正文"/>
    <w:basedOn w:val="1"/>
    <w:qFormat/>
    <w:uiPriority w:val="99"/>
    <w:pPr>
      <w:widowControl/>
      <w:spacing w:beforeLines="50" w:afterLines="50" w:line="420" w:lineRule="auto"/>
      <w:ind w:firstLine="200" w:firstLineChars="200"/>
      <w:jc w:val="left"/>
    </w:pPr>
    <w:rPr>
      <w:rFonts w:ascii="Calibri" w:hAnsi="Calibri" w:cs="宋体"/>
      <w:kern w:val="0"/>
      <w:sz w:val="24"/>
      <w:szCs w:val="20"/>
    </w:rPr>
  </w:style>
  <w:style w:type="paragraph" w:customStyle="1" w:styleId="8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88">
    <w:name w:val="正文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采购申报表正文"/>
    <w:basedOn w:val="1"/>
    <w:qFormat/>
    <w:uiPriority w:val="99"/>
    <w:rPr>
      <w:rFonts w:ascii="仿宋_GB2312" w:eastAsia="仿宋_GB2312"/>
      <w:szCs w:val="28"/>
    </w:rPr>
  </w:style>
  <w:style w:type="paragraph" w:customStyle="1" w:styleId="9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91">
    <w:name w:val="Char Char2 Char"/>
    <w:basedOn w:val="1"/>
    <w:qFormat/>
    <w:uiPriority w:val="99"/>
    <w:pPr>
      <w:keepNext/>
      <w:keepLines/>
      <w:pageBreakBefore/>
      <w:tabs>
        <w:tab w:val="left" w:pos="390"/>
      </w:tabs>
      <w:ind w:left="390" w:hanging="390"/>
    </w:pPr>
    <w:rPr>
      <w:rFonts w:ascii="Tahoma" w:hAnsi="Tahoma"/>
      <w:sz w:val="24"/>
      <w:szCs w:val="20"/>
    </w:rPr>
  </w:style>
  <w:style w:type="paragraph" w:customStyle="1" w:styleId="92">
    <w:name w:val="列出段落11"/>
    <w:basedOn w:val="1"/>
    <w:qFormat/>
    <w:uiPriority w:val="99"/>
    <w:pPr>
      <w:ind w:firstLine="420" w:firstLineChars="200"/>
    </w:pPr>
  </w:style>
  <w:style w:type="paragraph" w:customStyle="1" w:styleId="93">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94">
    <w:name w:val="Char Char1 Char Char Char Char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95">
    <w:name w:val="样式1"/>
    <w:basedOn w:val="4"/>
    <w:qFormat/>
    <w:uiPriority w:val="99"/>
  </w:style>
  <w:style w:type="paragraph" w:customStyle="1" w:styleId="96">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98">
    <w:name w:val="xl73"/>
    <w:basedOn w:val="1"/>
    <w:qFormat/>
    <w:uiPriority w:val="0"/>
    <w:pPr>
      <w:widowControl/>
      <w:pBdr>
        <w:lef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99">
    <w:name w:val="p2"/>
    <w:basedOn w:val="1"/>
    <w:qFormat/>
    <w:uiPriority w:val="99"/>
    <w:pPr>
      <w:widowControl/>
      <w:spacing w:line="480" w:lineRule="auto"/>
      <w:ind w:firstLine="420"/>
      <w:jc w:val="left"/>
    </w:pPr>
    <w:rPr>
      <w:rFonts w:ascii="宋体" w:hAnsi="宋体" w:cs="宋体"/>
      <w:kern w:val="0"/>
      <w:szCs w:val="21"/>
    </w:rPr>
  </w:style>
  <w:style w:type="paragraph" w:customStyle="1" w:styleId="100">
    <w:name w:val="列出段落2"/>
    <w:basedOn w:val="1"/>
    <w:qFormat/>
    <w:uiPriority w:val="99"/>
    <w:pPr>
      <w:ind w:firstLine="420" w:firstLineChars="200"/>
    </w:pPr>
  </w:style>
  <w:style w:type="paragraph" w:customStyle="1" w:styleId="101">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color w:val="000000"/>
      <w:kern w:val="0"/>
      <w:sz w:val="24"/>
    </w:rPr>
  </w:style>
  <w:style w:type="paragraph" w:customStyle="1" w:styleId="102">
    <w:name w:val="Char Char Char"/>
    <w:basedOn w:val="1"/>
    <w:qFormat/>
    <w:uiPriority w:val="99"/>
    <w:pPr>
      <w:ind w:firstLine="200" w:firstLineChars="200"/>
    </w:pPr>
    <w:rPr>
      <w:sz w:val="24"/>
    </w:rPr>
  </w:style>
  <w:style w:type="paragraph" w:customStyle="1" w:styleId="103">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4">
    <w:name w:val="Char1"/>
    <w:basedOn w:val="1"/>
    <w:qFormat/>
    <w:uiPriority w:val="99"/>
    <w:pPr>
      <w:widowControl/>
      <w:spacing w:after="160" w:line="240" w:lineRule="exact"/>
      <w:jc w:val="left"/>
    </w:pPr>
  </w:style>
  <w:style w:type="paragraph" w:customStyle="1" w:styleId="105">
    <w:name w:val="正文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06">
    <w:name w:val="Char11"/>
    <w:basedOn w:val="1"/>
    <w:qFormat/>
    <w:uiPriority w:val="99"/>
  </w:style>
  <w:style w:type="paragraph" w:customStyle="1" w:styleId="107">
    <w:name w:val="列出段落1"/>
    <w:basedOn w:val="1"/>
    <w:qFormat/>
    <w:uiPriority w:val="99"/>
    <w:pPr>
      <w:ind w:firstLine="420" w:firstLineChars="200"/>
    </w:pPr>
    <w:rPr>
      <w:rFonts w:ascii="Calibri" w:hAnsi="Calibri"/>
      <w:szCs w:val="22"/>
    </w:rPr>
  </w:style>
  <w:style w:type="paragraph" w:customStyle="1" w:styleId="108">
    <w:name w:val="纯文本 New New"/>
    <w:basedOn w:val="1"/>
    <w:next w:val="1"/>
    <w:qFormat/>
    <w:uiPriority w:val="99"/>
    <w:pPr>
      <w:autoSpaceDE w:val="0"/>
      <w:autoSpaceDN w:val="0"/>
      <w:adjustRightInd w:val="0"/>
      <w:jc w:val="left"/>
    </w:pPr>
    <w:rPr>
      <w:rFonts w:ascii="宋体"/>
    </w:rPr>
  </w:style>
  <w:style w:type="paragraph" w:customStyle="1" w:styleId="109">
    <w:name w:val="样式3"/>
    <w:basedOn w:val="5"/>
    <w:qFormat/>
    <w:uiPriority w:val="99"/>
    <w:pPr>
      <w:ind w:left="101" w:hanging="101" w:hangingChars="101"/>
      <w:jc w:val="left"/>
    </w:pPr>
    <w:rPr>
      <w:b w:val="0"/>
      <w:bCs w:val="0"/>
      <w:sz w:val="24"/>
      <w:szCs w:val="24"/>
    </w:rPr>
  </w:style>
  <w:style w:type="paragraph" w:customStyle="1" w:styleId="110">
    <w:name w:val="g3"/>
    <w:basedOn w:val="1"/>
    <w:qFormat/>
    <w:uiPriority w:val="99"/>
    <w:pPr>
      <w:widowControl/>
      <w:spacing w:before="100" w:beforeAutospacing="1" w:after="100" w:afterAutospacing="1" w:line="675" w:lineRule="atLeast"/>
      <w:jc w:val="left"/>
    </w:pPr>
    <w:rPr>
      <w:rFonts w:ascii="华文中宋" w:hAnsi="华文中宋" w:eastAsia="华文中宋"/>
      <w:kern w:val="0"/>
      <w:sz w:val="42"/>
      <w:szCs w:val="42"/>
    </w:rPr>
  </w:style>
  <w:style w:type="paragraph" w:customStyle="1" w:styleId="111">
    <w:name w:val="第四行"/>
    <w:basedOn w:val="1"/>
    <w:qFormat/>
    <w:uiPriority w:val="99"/>
    <w:pPr>
      <w:tabs>
        <w:tab w:val="left" w:pos="1200"/>
      </w:tabs>
      <w:spacing w:line="360" w:lineRule="auto"/>
      <w:jc w:val="center"/>
    </w:pPr>
    <w:rPr>
      <w:rFonts w:ascii="宋体"/>
      <w:b/>
      <w:bCs/>
      <w:spacing w:val="40"/>
      <w:sz w:val="28"/>
      <w:szCs w:val="28"/>
    </w:rPr>
  </w:style>
  <w:style w:type="paragraph" w:customStyle="1" w:styleId="112">
    <w:name w:val="Char Char Char Char Char Char Char Char Char Char Char Char 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styleId="113">
    <w:name w:val="List Paragraph"/>
    <w:basedOn w:val="1"/>
    <w:qFormat/>
    <w:uiPriority w:val="99"/>
    <w:pPr>
      <w:ind w:firstLine="420" w:firstLineChars="200"/>
    </w:pPr>
  </w:style>
  <w:style w:type="paragraph" w:customStyle="1" w:styleId="114">
    <w:name w:val="xl108"/>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5">
    <w:name w:val="Content"/>
    <w:basedOn w:val="13"/>
    <w:qFormat/>
    <w:uiPriority w:val="99"/>
    <w:pPr>
      <w:spacing w:line="360" w:lineRule="auto"/>
      <w:ind w:firstLine="480"/>
    </w:pPr>
    <w:rPr>
      <w:rFonts w:eastAsia="全真簡粗明"/>
      <w:b/>
      <w:lang w:eastAsia="zh-TW"/>
    </w:rPr>
  </w:style>
  <w:style w:type="paragraph" w:customStyle="1" w:styleId="116">
    <w:name w:val="para"/>
    <w:basedOn w:val="1"/>
    <w:qFormat/>
    <w:uiPriority w:val="99"/>
    <w:pPr>
      <w:widowControl/>
      <w:adjustRightInd w:val="0"/>
      <w:spacing w:before="160" w:line="360" w:lineRule="auto"/>
      <w:ind w:firstLine="425"/>
      <w:textAlignment w:val="baseline"/>
    </w:pPr>
    <w:rPr>
      <w:kern w:val="0"/>
      <w:sz w:val="24"/>
      <w:szCs w:val="20"/>
      <w:lang w:eastAsia="en-US"/>
    </w:rPr>
  </w:style>
  <w:style w:type="paragraph" w:customStyle="1" w:styleId="117">
    <w:name w:val="纯文本 New New New"/>
    <w:basedOn w:val="1"/>
    <w:next w:val="1"/>
    <w:qFormat/>
    <w:uiPriority w:val="99"/>
    <w:pPr>
      <w:autoSpaceDE w:val="0"/>
      <w:autoSpaceDN w:val="0"/>
      <w:adjustRightInd w:val="0"/>
      <w:jc w:val="left"/>
    </w:pPr>
    <w:rPr>
      <w:rFonts w:ascii="宋体"/>
    </w:rPr>
  </w:style>
  <w:style w:type="paragraph" w:customStyle="1" w:styleId="118">
    <w:name w:val="flName"/>
    <w:basedOn w:val="1"/>
    <w:qFormat/>
    <w:uiPriority w:val="99"/>
    <w:pPr>
      <w:adjustRightInd w:val="0"/>
      <w:spacing w:before="320" w:after="160" w:line="360" w:lineRule="atLeast"/>
      <w:jc w:val="center"/>
      <w:textAlignment w:val="baseline"/>
    </w:pPr>
    <w:rPr>
      <w:rFonts w:ascii="Arial" w:eastAsia="黑体" w:cs="Arial"/>
      <w:kern w:val="0"/>
      <w:sz w:val="32"/>
      <w:szCs w:val="32"/>
    </w:rPr>
  </w:style>
  <w:style w:type="paragraph" w:customStyle="1" w:styleId="119">
    <w:name w:val="Table Paragraph"/>
    <w:basedOn w:val="1"/>
    <w:qFormat/>
    <w:uiPriority w:val="99"/>
    <w:pPr>
      <w:jc w:val="center"/>
    </w:pPr>
    <w:rPr>
      <w:rFonts w:ascii="宋体" w:hAnsi="宋体" w:cs="宋体"/>
      <w:lang w:val="zh-CN"/>
    </w:rPr>
  </w:style>
  <w:style w:type="paragraph" w:customStyle="1" w:styleId="120">
    <w:name w:val="_Style 2"/>
    <w:basedOn w:val="1"/>
    <w:qFormat/>
    <w:uiPriority w:val="99"/>
    <w:pPr>
      <w:ind w:firstLine="420" w:firstLineChars="200"/>
    </w:pPr>
  </w:style>
  <w:style w:type="paragraph" w:customStyle="1" w:styleId="121">
    <w:name w:val="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122">
    <w:name w:val="Char"/>
    <w:basedOn w:val="1"/>
    <w:qFormat/>
    <w:uiPriority w:val="0"/>
  </w:style>
  <w:style w:type="paragraph" w:customStyle="1" w:styleId="123">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left"/>
      <w:textAlignment w:val="bottom"/>
    </w:pPr>
    <w:rPr>
      <w:rFonts w:ascii="宋体" w:hAnsi="宋体" w:cs="宋体"/>
      <w:b/>
      <w:bCs/>
      <w:color w:val="000000"/>
      <w:kern w:val="0"/>
      <w:sz w:val="24"/>
    </w:rPr>
  </w:style>
  <w:style w:type="paragraph" w:customStyle="1" w:styleId="124">
    <w:name w:val="样式2"/>
    <w:basedOn w:val="4"/>
    <w:qFormat/>
    <w:uiPriority w:val="99"/>
    <w:pPr>
      <w:spacing w:line="440" w:lineRule="exact"/>
      <w:jc w:val="center"/>
    </w:pPr>
    <w:rPr>
      <w:rFonts w:ascii="宋体" w:hAnsi="宋体"/>
      <w:b w:val="0"/>
      <w:sz w:val="32"/>
    </w:rPr>
  </w:style>
  <w:style w:type="paragraph" w:customStyle="1" w:styleId="125">
    <w:name w:val="_Style 5"/>
    <w:basedOn w:val="1"/>
    <w:qFormat/>
    <w:uiPriority w:val="99"/>
    <w:pPr>
      <w:keepNext/>
      <w:keepLines/>
      <w:pageBreakBefore/>
      <w:tabs>
        <w:tab w:val="left" w:pos="390"/>
      </w:tabs>
      <w:ind w:left="390" w:hanging="390"/>
    </w:pPr>
    <w:rPr>
      <w:rFonts w:ascii="Tahoma" w:hAnsi="Tahoma"/>
      <w:sz w:val="24"/>
      <w:szCs w:val="20"/>
    </w:rPr>
  </w:style>
  <w:style w:type="paragraph" w:customStyle="1" w:styleId="126">
    <w:name w:val="样式 首行缩进:  2 字符"/>
    <w:basedOn w:val="1"/>
    <w:qFormat/>
    <w:uiPriority w:val="99"/>
    <w:pPr>
      <w:spacing w:line="400" w:lineRule="exact"/>
      <w:ind w:firstLine="200" w:firstLineChars="200"/>
    </w:pPr>
    <w:rPr>
      <w:rFonts w:cs="宋体"/>
      <w:sz w:val="24"/>
    </w:rPr>
  </w:style>
  <w:style w:type="paragraph" w:customStyle="1" w:styleId="127">
    <w:name w:val="xl23"/>
    <w:basedOn w:val="1"/>
    <w:qFormat/>
    <w:uiPriority w:val="99"/>
    <w:pPr>
      <w:widowControl/>
      <w:spacing w:before="100" w:beforeAutospacing="1" w:after="100" w:afterAutospacing="1"/>
      <w:jc w:val="center"/>
    </w:pPr>
    <w:rPr>
      <w:rFonts w:ascii="Arial Unicode MS" w:hAnsi="Arial Unicode MS"/>
      <w:kern w:val="0"/>
      <w:sz w:val="24"/>
      <w:szCs w:val="20"/>
    </w:rPr>
  </w:style>
  <w:style w:type="paragraph" w:customStyle="1" w:styleId="128">
    <w:name w:val="纯文本 New New New New"/>
    <w:basedOn w:val="1"/>
    <w:next w:val="1"/>
    <w:qFormat/>
    <w:uiPriority w:val="99"/>
    <w:pPr>
      <w:autoSpaceDE w:val="0"/>
      <w:autoSpaceDN w:val="0"/>
      <w:adjustRightInd w:val="0"/>
      <w:jc w:val="left"/>
    </w:pPr>
    <w:rPr>
      <w:rFonts w:ascii="宋体"/>
    </w:rPr>
  </w:style>
  <w:style w:type="paragraph" w:customStyle="1" w:styleId="129">
    <w:name w:val="p0"/>
    <w:basedOn w:val="1"/>
    <w:qFormat/>
    <w:uiPriority w:val="99"/>
    <w:pPr>
      <w:widowControl/>
    </w:pPr>
    <w:rPr>
      <w:rFonts w:ascii="仿宋" w:eastAsia="仿宋"/>
      <w:kern w:val="0"/>
      <w:sz w:val="32"/>
      <w:szCs w:val="21"/>
    </w:rPr>
  </w:style>
  <w:style w:type="paragraph" w:customStyle="1" w:styleId="130">
    <w:name w:val="表格"/>
    <w:basedOn w:val="1"/>
    <w:qFormat/>
    <w:uiPriority w:val="99"/>
    <w:pPr>
      <w:tabs>
        <w:tab w:val="left" w:pos="1200"/>
      </w:tabs>
      <w:spacing w:line="500" w:lineRule="exact"/>
      <w:jc w:val="center"/>
    </w:pPr>
    <w:rPr>
      <w:rFonts w:ascii="宋体"/>
      <w:sz w:val="24"/>
      <w:szCs w:val="18"/>
    </w:rPr>
  </w:style>
  <w:style w:type="paragraph" w:customStyle="1" w:styleId="131">
    <w:name w:val="font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32">
    <w:name w:val="xl72"/>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3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34">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135">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136">
    <w:name w:val="xl79"/>
    <w:basedOn w:val="1"/>
    <w:qFormat/>
    <w:uiPriority w:val="0"/>
    <w:pPr>
      <w:widowControl/>
      <w:pBdr>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13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24"/>
    </w:rPr>
  </w:style>
  <w:style w:type="paragraph" w:customStyle="1" w:styleId="13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139">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14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14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142">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14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14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4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14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4"/>
    </w:rPr>
  </w:style>
  <w:style w:type="paragraph" w:customStyle="1" w:styleId="14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48">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149">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8"/>
      <w:szCs w:val="28"/>
    </w:rPr>
  </w:style>
  <w:style w:type="paragraph" w:customStyle="1" w:styleId="150">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51">
    <w:name w:val="xl9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52">
    <w:name w:val="xl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color w:val="FF0000"/>
      <w:kern w:val="0"/>
      <w:sz w:val="24"/>
    </w:rPr>
  </w:style>
  <w:style w:type="paragraph" w:customStyle="1" w:styleId="153">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left"/>
      <w:textAlignment w:val="bottom"/>
    </w:pPr>
    <w:rPr>
      <w:rFonts w:ascii="宋体" w:hAnsi="宋体" w:cs="宋体"/>
      <w:b/>
      <w:bCs/>
      <w:kern w:val="0"/>
      <w:sz w:val="24"/>
    </w:rPr>
  </w:style>
  <w:style w:type="paragraph" w:customStyle="1" w:styleId="154">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textAlignment w:val="bottom"/>
    </w:pPr>
    <w:rPr>
      <w:rFonts w:ascii="宋体" w:hAnsi="宋体" w:cs="宋体"/>
      <w:b/>
      <w:bCs/>
      <w:kern w:val="0"/>
      <w:sz w:val="24"/>
    </w:rPr>
  </w:style>
  <w:style w:type="paragraph" w:customStyle="1" w:styleId="155">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textAlignment w:val="bottom"/>
    </w:pPr>
    <w:rPr>
      <w:rFonts w:ascii="宋体" w:hAnsi="宋体" w:cs="宋体"/>
      <w:b/>
      <w:bCs/>
      <w:color w:val="000000"/>
      <w:kern w:val="0"/>
      <w:sz w:val="24"/>
    </w:rPr>
  </w:style>
  <w:style w:type="paragraph" w:customStyle="1" w:styleId="156">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left"/>
    </w:pPr>
    <w:rPr>
      <w:rFonts w:ascii="宋体" w:hAnsi="宋体" w:cs="宋体"/>
      <w:b/>
      <w:bCs/>
      <w:kern w:val="0"/>
      <w:sz w:val="24"/>
    </w:rPr>
  </w:style>
  <w:style w:type="paragraph" w:customStyle="1" w:styleId="157">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left"/>
    </w:pPr>
    <w:rPr>
      <w:rFonts w:ascii="宋体" w:hAnsi="宋体" w:cs="宋体"/>
      <w:b/>
      <w:bCs/>
      <w:color w:val="000000"/>
      <w:kern w:val="0"/>
      <w:sz w:val="24"/>
    </w:rPr>
  </w:style>
  <w:style w:type="paragraph" w:customStyle="1" w:styleId="158">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159">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0">
    <w:name w:val="xl11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61">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6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63">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64">
    <w:name w:val="xl11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65">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6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24"/>
    </w:rPr>
  </w:style>
  <w:style w:type="paragraph" w:customStyle="1" w:styleId="167">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4"/>
    </w:rPr>
  </w:style>
  <w:style w:type="paragraph" w:customStyle="1" w:styleId="168">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4"/>
    </w:rPr>
  </w:style>
  <w:style w:type="paragraph" w:customStyle="1" w:styleId="169">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70">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4"/>
    </w:rPr>
  </w:style>
  <w:style w:type="paragraph" w:customStyle="1" w:styleId="171">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28"/>
      <w:szCs w:val="28"/>
    </w:rPr>
  </w:style>
  <w:style w:type="paragraph" w:customStyle="1" w:styleId="172">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4"/>
    </w:rPr>
  </w:style>
  <w:style w:type="paragraph" w:customStyle="1" w:styleId="173">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8"/>
      <w:szCs w:val="28"/>
    </w:rPr>
  </w:style>
  <w:style w:type="paragraph" w:customStyle="1" w:styleId="174">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75">
    <w:name w:val="xl12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color w:val="C00000"/>
      <w:kern w:val="0"/>
      <w:sz w:val="32"/>
      <w:szCs w:val="32"/>
    </w:rPr>
  </w:style>
  <w:style w:type="paragraph" w:customStyle="1" w:styleId="176">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36"/>
      <w:szCs w:val="36"/>
    </w:rPr>
  </w:style>
  <w:style w:type="paragraph" w:customStyle="1" w:styleId="177">
    <w:name w:val="xl1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color w:val="000000"/>
      <w:kern w:val="0"/>
      <w:sz w:val="36"/>
      <w:szCs w:val="36"/>
    </w:rPr>
  </w:style>
  <w:style w:type="paragraph" w:customStyle="1" w:styleId="178">
    <w:name w:val="列出段落3"/>
    <w:basedOn w:val="1"/>
    <w:qFormat/>
    <w:uiPriority w:val="99"/>
    <w:pPr>
      <w:ind w:firstLine="420" w:firstLineChars="200"/>
    </w:pPr>
  </w:style>
  <w:style w:type="paragraph" w:styleId="179">
    <w:name w:val="No Spacing"/>
    <w:qFormat/>
    <w:uiPriority w:val="1"/>
    <w:pPr>
      <w:widowControl w:val="0"/>
      <w:spacing w:line="360" w:lineRule="auto"/>
      <w:ind w:firstLine="200" w:firstLineChars="200"/>
      <w:jc w:val="both"/>
      <w:textAlignment w:val="bottom"/>
    </w:pPr>
    <w:rPr>
      <w:rFonts w:ascii="Times New Roman" w:hAnsi="Times New Roman" w:eastAsia="宋体" w:cs="Times New Roman"/>
      <w:sz w:val="24"/>
      <w:lang w:val="en-US" w:eastAsia="zh-CN" w:bidi="ar-SA"/>
    </w:rPr>
  </w:style>
  <w:style w:type="paragraph" w:customStyle="1" w:styleId="180">
    <w:name w:val="正文-2字符首行缩进"/>
    <w:basedOn w:val="1"/>
    <w:qFormat/>
    <w:uiPriority w:val="0"/>
    <w:pPr>
      <w:ind w:firstLine="200" w:firstLineChars="200"/>
    </w:pPr>
  </w:style>
  <w:style w:type="character" w:customStyle="1" w:styleId="181">
    <w:name w:val="标题 1 Char"/>
    <w:basedOn w:val="39"/>
    <w:link w:val="3"/>
    <w:qFormat/>
    <w:uiPriority w:val="0"/>
    <w:rPr>
      <w:rFonts w:hint="default" w:ascii="Times New Roman" w:hAnsi="Times New Roman" w:eastAsia="宋体" w:cs="Times New Roman"/>
      <w:b/>
      <w:kern w:val="44"/>
      <w:sz w:val="44"/>
      <w:szCs w:val="44"/>
    </w:rPr>
  </w:style>
  <w:style w:type="paragraph" w:customStyle="1" w:styleId="182">
    <w:name w:val="WPSOffice手动目录 1"/>
    <w:qFormat/>
    <w:uiPriority w:val="0"/>
    <w:rPr>
      <w:rFonts w:ascii="Times New Roman" w:hAnsi="Times New Roman" w:eastAsia="宋体" w:cs="Times New Roman"/>
      <w:lang w:val="en-US" w:eastAsia="zh-CN" w:bidi="ar-SA"/>
    </w:rPr>
  </w:style>
  <w:style w:type="paragraph" w:customStyle="1" w:styleId="18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84">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85">
    <w:name w:val="_Style 45"/>
    <w:basedOn w:val="3"/>
    <w:next w:val="1"/>
    <w:unhideWhenUsed/>
    <w:qFormat/>
    <w:uiPriority w:val="39"/>
    <w:pPr>
      <w:widowControl/>
      <w:tabs>
        <w:tab w:val="clear" w:pos="360"/>
      </w:tabs>
      <w:adjustRightInd/>
      <w:spacing w:before="240" w:line="259" w:lineRule="auto"/>
      <w:ind w:left="0" w:firstLine="0"/>
      <w:jc w:val="left"/>
      <w:textAlignment w:val="auto"/>
      <w:outlineLvl w:val="9"/>
    </w:pPr>
    <w:rPr>
      <w:rFonts w:ascii="等线 Light" w:hAnsi="等线 Light" w:eastAsia="等线 Light"/>
      <w:b w:val="0"/>
      <w:bCs w:val="0"/>
      <w:color w:val="2E74B5"/>
      <w:kern w:val="0"/>
      <w:sz w:val="32"/>
      <w:szCs w:val="32"/>
    </w:rPr>
  </w:style>
  <w:style w:type="character" w:customStyle="1" w:styleId="186">
    <w:name w:val="unnamed3"/>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6D5841-A977-48A4-A1D2-7FAC95FBD9CE}">
  <ds:schemaRefs/>
</ds:datastoreItem>
</file>

<file path=docProps/app.xml><?xml version="1.0" encoding="utf-8"?>
<Properties xmlns="http://schemas.openxmlformats.org/officeDocument/2006/extended-properties" xmlns:vt="http://schemas.openxmlformats.org/officeDocument/2006/docPropsVTypes">
  <Template>Normal</Template>
  <Company>ZYQ</Company>
  <Pages>51</Pages>
  <Words>4807</Words>
  <Characters>27403</Characters>
  <Lines>228</Lines>
  <Paragraphs>64</Paragraphs>
  <TotalTime>1</TotalTime>
  <ScaleCrop>false</ScaleCrop>
  <LinksUpToDate>false</LinksUpToDate>
  <CharactersWithSpaces>32146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2021-05-25T06:45:00Z</dcterms:created>
  <dc:creator>kaka</dc:creator>
  <cp:lastModifiedBy>小手拉大手</cp:lastModifiedBy>
  <cp:lastPrinted>2021-06-15T09:06:00Z</cp:lastPrinted>
  <dcterms:modified xsi:type="dcterms:W3CDTF">2021-07-17T01:16:25Z</dcterms:modified>
  <dc:title>附件1</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3D95DFA901954D1DADCECC5F7B48AF69</vt:lpwstr>
  </property>
</Properties>
</file>